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1200"/>
        <w:jc w:val="center"/>
      </w:pPr>
      <w:r>
        <w:rPr>
          <w:rFonts w:ascii="Calibri" w:hAnsi="Calibri"/>
          <w:b/>
          <w:i w:val="0"/>
          <w:color w:val="C084FC"/>
          <w:sz w:val="56"/>
        </w:rPr>
        <w:t>BCILattice — User Manual</w:t>
      </w:r>
    </w:p>
    <w:p>
      <w:pPr>
        <w:jc w:val="center"/>
      </w:pPr>
      <w:r>
        <w:rPr>
          <w:rFonts w:ascii="Calibri" w:hAnsi="Calibri"/>
          <w:b w:val="0"/>
          <w:i w:val="0"/>
          <w:color w:val="0D9488"/>
          <w:sz w:val="28"/>
        </w:rPr>
        <w:t>Complete guide to using the BCILattice research platform</w:t>
      </w:r>
    </w:p>
    <w:p>
      <w:pPr>
        <w:jc w:val="center"/>
      </w:pPr>
      <w:r>
        <w:rPr>
          <w:rFonts w:ascii="Calibri" w:hAnsi="Calibri"/>
          <w:b w:val="0"/>
          <w:i w:val="0"/>
          <w:color w:val="6B7280"/>
          <w:sz w:val="20"/>
        </w:rPr>
        <w:br/>
        <w:t>BCINexus Platform  ·  v1.0  ·  2026</w:t>
      </w:r>
    </w:p>
    <w:p>
      <w:r>
        <w:br w:type="page"/>
      </w:r>
    </w:p>
    <w:p>
      <w:pPr>
        <w:pStyle w:val="Heading1"/>
      </w:pPr>
      <w:r>
        <w:rPr>
          <w:rFonts w:ascii="Calibri" w:hAnsi="Calibri"/>
          <w:b/>
          <w:color w:val="C084FC"/>
          <w:sz w:val="40"/>
        </w:rPr>
        <w:t>1. Introduction</w:t>
      </w:r>
    </w:p>
    <w:p>
      <w:pPr>
        <w:spacing w:after="120"/>
      </w:pPr>
      <w:r>
        <w:rPr>
          <w:rFonts w:ascii="Calibri" w:hAnsi="Calibri"/>
          <w:b w:val="0"/>
          <w:i w:val="0"/>
          <w:sz w:val="22"/>
        </w:rPr>
        <w:t>BCILattice is a professional desktop application for Brain-Computer Interface (BCI) and neuroscience research. It provides every step of the research workflow — from raw signal import through preprocessing, paradigm design, machine learning, experiment tracking, and report generation — in a single integrated environment that runs entirely on your own machine.</w:t>
      </w:r>
    </w:p>
    <w:p>
      <w:pPr>
        <w:spacing w:after="120"/>
      </w:pPr>
      <w:r>
        <w:rPr>
          <w:rFonts w:ascii="Calibri" w:hAnsi="Calibri"/>
          <w:b w:val="0"/>
          <w:i w:val="0"/>
          <w:sz w:val="22"/>
        </w:rPr>
        <w:t>This manual covers all modules of BCILattice and the BCINexus cloud platform. Whether you are running your first EEG study or managing a multi-site clinical trial, this document provides step-by-step guidance for every part of the workflow.</w:t>
      </w:r>
    </w:p>
    <w:p>
      <w:pPr>
        <w:pStyle w:val="Heading2"/>
      </w:pPr>
      <w:r>
        <w:rPr>
          <w:rFonts w:ascii="Calibri" w:hAnsi="Calibri"/>
          <w:b/>
          <w:color w:val="0D9488"/>
          <w:sz w:val="30"/>
        </w:rPr>
        <w:t>1.1  How This Manual is Organised</w:t>
      </w:r>
    </w:p>
    <w:p>
      <w:pPr>
        <w:pStyle w:val="ListBullet"/>
        <w:spacing w:after="60"/>
        <w:ind w:left="432"/>
      </w:pPr>
      <w:r>
        <w:rPr>
          <w:rFonts w:ascii="Calibri" w:hAnsi="Calibri"/>
          <w:b w:val="0"/>
          <w:i w:val="0"/>
          <w:sz w:val="21"/>
        </w:rPr>
        <w:t>Section 2 — Installation and first launch</w:t>
      </w:r>
    </w:p>
    <w:p>
      <w:pPr>
        <w:pStyle w:val="ListBullet"/>
        <w:spacing w:after="60"/>
        <w:ind w:left="432"/>
      </w:pPr>
      <w:r>
        <w:rPr>
          <w:rFonts w:ascii="Calibri" w:hAnsi="Calibri"/>
          <w:b w:val="0"/>
          <w:i w:val="0"/>
          <w:sz w:val="21"/>
        </w:rPr>
        <w:t>Section 3 — Data Manager: importing signals</w:t>
      </w:r>
    </w:p>
    <w:p>
      <w:pPr>
        <w:pStyle w:val="ListBullet"/>
        <w:spacing w:after="60"/>
        <w:ind w:left="432"/>
      </w:pPr>
      <w:r>
        <w:rPr>
          <w:rFonts w:ascii="Calibri" w:hAnsi="Calibri"/>
          <w:b w:val="0"/>
          <w:i w:val="0"/>
          <w:sz w:val="21"/>
        </w:rPr>
        <w:t>Section 4 — Preprocessing: cleaning signals</w:t>
      </w:r>
    </w:p>
    <w:p>
      <w:pPr>
        <w:pStyle w:val="ListBullet"/>
        <w:spacing w:after="60"/>
        <w:ind w:left="432"/>
      </w:pPr>
      <w:r>
        <w:rPr>
          <w:rFonts w:ascii="Calibri" w:hAnsi="Calibri"/>
          <w:b w:val="0"/>
          <w:i w:val="0"/>
          <w:sz w:val="21"/>
        </w:rPr>
        <w:t>Section 5 — NeuralFlow: visual paradigm designer</w:t>
      </w:r>
    </w:p>
    <w:p>
      <w:pPr>
        <w:pStyle w:val="ListBullet"/>
        <w:spacing w:after="60"/>
        <w:ind w:left="432"/>
      </w:pPr>
      <w:r>
        <w:rPr>
          <w:rFonts w:ascii="Calibri" w:hAnsi="Calibri"/>
          <w:b w:val="0"/>
          <w:i w:val="0"/>
          <w:sz w:val="21"/>
        </w:rPr>
        <w:t>Section 6 — ML Suite: machine learning pipeline builder</w:t>
      </w:r>
    </w:p>
    <w:p>
      <w:pPr>
        <w:pStyle w:val="ListBullet"/>
        <w:spacing w:after="60"/>
        <w:ind w:left="432"/>
      </w:pPr>
      <w:r>
        <w:rPr>
          <w:rFonts w:ascii="Calibri" w:hAnsi="Calibri"/>
          <w:b w:val="0"/>
          <w:i w:val="0"/>
          <w:sz w:val="21"/>
        </w:rPr>
        <w:t>Section 7 — Analysis Suite: features and channel selection</w:t>
      </w:r>
    </w:p>
    <w:p>
      <w:pPr>
        <w:pStyle w:val="ListBullet"/>
        <w:spacing w:after="60"/>
        <w:ind w:left="432"/>
      </w:pPr>
      <w:r>
        <w:rPr>
          <w:rFonts w:ascii="Calibri" w:hAnsi="Calibri"/>
          <w:b w:val="0"/>
          <w:i w:val="0"/>
          <w:sz w:val="21"/>
        </w:rPr>
        <w:t>Section 8 — Experiment Hub: version tracking</w:t>
      </w:r>
    </w:p>
    <w:p>
      <w:pPr>
        <w:pStyle w:val="ListBullet"/>
        <w:spacing w:after="60"/>
        <w:ind w:left="432"/>
      </w:pPr>
      <w:r>
        <w:rPr>
          <w:rFonts w:ascii="Calibri" w:hAnsi="Calibri"/>
          <w:b w:val="0"/>
          <w:i w:val="0"/>
          <w:sz w:val="21"/>
        </w:rPr>
        <w:t>Section 9 — Reports: automatic session summaries</w:t>
      </w:r>
    </w:p>
    <w:p>
      <w:pPr>
        <w:pStyle w:val="ListBullet"/>
        <w:spacing w:after="60"/>
        <w:ind w:left="432"/>
      </w:pPr>
      <w:r>
        <w:rPr>
          <w:rFonts w:ascii="Calibri" w:hAnsi="Calibri"/>
          <w:b w:val="0"/>
          <w:i w:val="0"/>
          <w:sz w:val="21"/>
        </w:rPr>
        <w:t>Section 10 — Teams &amp; Cloud: collaboration</w:t>
      </w:r>
    </w:p>
    <w:p>
      <w:pPr>
        <w:pStyle w:val="ListBullet"/>
        <w:spacing w:after="60"/>
        <w:ind w:left="432"/>
      </w:pPr>
      <w:r>
        <w:rPr>
          <w:rFonts w:ascii="Calibri" w:hAnsi="Calibri"/>
          <w:b w:val="0"/>
          <w:i w:val="0"/>
          <w:sz w:val="21"/>
        </w:rPr>
        <w:t>Section 11 — AI Research Assistant</w:t>
      </w:r>
    </w:p>
    <w:p>
      <w:pPr>
        <w:pStyle w:val="ListBullet"/>
        <w:spacing w:after="60"/>
        <w:ind w:left="432"/>
      </w:pPr>
      <w:r>
        <w:rPr>
          <w:rFonts w:ascii="Calibri" w:hAnsi="Calibri"/>
          <w:b w:val="0"/>
          <w:i w:val="0"/>
          <w:sz w:val="21"/>
        </w:rPr>
        <w:t>Section 12 — BCINexus Pipeline Library</w:t>
      </w:r>
    </w:p>
    <w:p>
      <w:pPr>
        <w:pStyle w:val="ListBullet"/>
        <w:spacing w:after="60"/>
        <w:ind w:left="432"/>
      </w:pPr>
      <w:r>
        <w:rPr>
          <w:rFonts w:ascii="Calibri" w:hAnsi="Calibri"/>
          <w:b w:val="0"/>
          <w:i w:val="0"/>
          <w:sz w:val="21"/>
        </w:rPr>
        <w:t>Section 13 — Keyboard shortcuts</w:t>
      </w:r>
    </w:p>
    <w:p>
      <w:pPr>
        <w:pStyle w:val="ListBullet"/>
        <w:spacing w:after="60"/>
        <w:ind w:left="432"/>
      </w:pPr>
      <w:r>
        <w:rPr>
          <w:rFonts w:ascii="Calibri" w:hAnsi="Calibri"/>
          <w:b w:val="0"/>
          <w:i w:val="0"/>
          <w:sz w:val="21"/>
        </w:rPr>
        <w:t>Section 14 — Troubleshooting</w:t>
      </w:r>
    </w:p>
    <w:p>
      <w:r>
        <w:br w:type="page"/>
      </w:r>
    </w:p>
    <w:p>
      <w:pPr>
        <w:pStyle w:val="Heading1"/>
      </w:pPr>
      <w:r>
        <w:rPr>
          <w:rFonts w:ascii="Calibri" w:hAnsi="Calibri"/>
          <w:b/>
          <w:color w:val="C084FC"/>
          <w:sz w:val="40"/>
        </w:rPr>
        <w:t>2. Installation &amp; First Launch</w:t>
      </w:r>
    </w:p>
    <w:p>
      <w:pPr>
        <w:pStyle w:val="Heading2"/>
      </w:pPr>
      <w:r>
        <w:rPr>
          <w:rFonts w:ascii="Calibri" w:hAnsi="Calibri"/>
          <w:b/>
          <w:color w:val="0D9488"/>
          <w:sz w:val="30"/>
        </w:rPr>
        <w:t>2.1  System Requirements</w:t>
      </w:r>
    </w:p>
    <w:tbl>
      <w:tblPr>
        <w:tblStyle w:val="TableGrid"/>
        <w:tblW w:type="auto" w:w="0"/>
        <w:tblLook w:firstColumn="1" w:firstRow="1" w:lastColumn="0" w:lastRow="0" w:noHBand="0" w:noVBand="1" w:val="04A0"/>
      </w:tblPr>
      <w:tblGrid>
        <w:gridCol w:w="3024"/>
        <w:gridCol w:w="3024"/>
        <w:gridCol w:w="3024"/>
      </w:tblGrid>
      <w:tr>
        <w:tc>
          <w:tcPr>
            <w:tcW w:type="dxa" w:w="3024"/>
            <w:shd w:val="clear" w:color="auto" w:fill="0D9488"/>
          </w:tcPr>
          <w:p>
            <w:pPr>
              <w:jc w:val="center"/>
            </w:pPr>
            <w:r>
              <w:rPr>
                <w:rFonts w:ascii="Calibri" w:hAnsi="Calibri"/>
                <w:b/>
                <w:color w:val="FFFFFF"/>
                <w:sz w:val="20"/>
              </w:rPr>
              <w:t>Component</w:t>
            </w:r>
          </w:p>
        </w:tc>
        <w:tc>
          <w:tcPr>
            <w:tcW w:type="dxa" w:w="3024"/>
            <w:shd w:val="clear" w:color="auto" w:fill="0D9488"/>
          </w:tcPr>
          <w:p>
            <w:pPr>
              <w:jc w:val="center"/>
            </w:pPr>
            <w:r>
              <w:rPr>
                <w:rFonts w:ascii="Calibri" w:hAnsi="Calibri"/>
                <w:b/>
                <w:color w:val="FFFFFF"/>
                <w:sz w:val="20"/>
              </w:rPr>
              <w:t>Minimum</w:t>
            </w:r>
          </w:p>
        </w:tc>
        <w:tc>
          <w:tcPr>
            <w:tcW w:type="dxa" w:w="3024"/>
            <w:shd w:val="clear" w:color="auto" w:fill="0D9488"/>
          </w:tcPr>
          <w:p>
            <w:pPr>
              <w:jc w:val="center"/>
            </w:pPr>
            <w:r>
              <w:rPr>
                <w:rFonts w:ascii="Calibri" w:hAnsi="Calibri"/>
                <w:b/>
                <w:color w:val="FFFFFF"/>
                <w:sz w:val="20"/>
              </w:rPr>
              <w:t>Recommended</w:t>
            </w:r>
          </w:p>
        </w:tc>
      </w:tr>
      <w:tr>
        <w:tc>
          <w:tcPr>
            <w:tcW w:type="dxa" w:w="3024"/>
            <w:shd w:val="clear" w:color="auto" w:fill="F9FAFB"/>
          </w:tcPr>
          <w:p>
            <w:r>
              <w:rPr>
                <w:rFonts w:ascii="Calibri" w:hAnsi="Calibri"/>
                <w:sz w:val="20"/>
              </w:rPr>
              <w:t>Operating System</w:t>
            </w:r>
          </w:p>
        </w:tc>
        <w:tc>
          <w:tcPr>
            <w:tcW w:type="dxa" w:w="3024"/>
            <w:shd w:val="clear" w:color="auto" w:fill="F9FAFB"/>
          </w:tcPr>
          <w:p>
            <w:r>
              <w:rPr>
                <w:rFonts w:ascii="Calibri" w:hAnsi="Calibri"/>
                <w:sz w:val="20"/>
              </w:rPr>
              <w:t>Windows 10 / macOS 12 / Ubuntu 20.04</w:t>
            </w:r>
          </w:p>
        </w:tc>
        <w:tc>
          <w:tcPr>
            <w:tcW w:type="dxa" w:w="3024"/>
            <w:shd w:val="clear" w:color="auto" w:fill="F9FAFB"/>
          </w:tcPr>
          <w:p>
            <w:r>
              <w:rPr>
                <w:rFonts w:ascii="Calibri" w:hAnsi="Calibri"/>
                <w:sz w:val="20"/>
              </w:rPr>
              <w:t>Windows 11 / macOS 14 / Ubuntu 22.04</w:t>
            </w:r>
          </w:p>
        </w:tc>
      </w:tr>
      <w:tr>
        <w:tc>
          <w:tcPr>
            <w:tcW w:type="dxa" w:w="3024"/>
            <w:shd w:val="clear" w:color="auto" w:fill="FFFFFF"/>
          </w:tcPr>
          <w:p>
            <w:r>
              <w:rPr>
                <w:rFonts w:ascii="Calibri" w:hAnsi="Calibri"/>
                <w:sz w:val="20"/>
              </w:rPr>
              <w:t>CPU</w:t>
            </w:r>
          </w:p>
        </w:tc>
        <w:tc>
          <w:tcPr>
            <w:tcW w:type="dxa" w:w="3024"/>
            <w:shd w:val="clear" w:color="auto" w:fill="FFFFFF"/>
          </w:tcPr>
          <w:p>
            <w:r>
              <w:rPr>
                <w:rFonts w:ascii="Calibri" w:hAnsi="Calibri"/>
                <w:sz w:val="20"/>
              </w:rPr>
              <w:t>4-core x86-64</w:t>
            </w:r>
          </w:p>
        </w:tc>
        <w:tc>
          <w:tcPr>
            <w:tcW w:type="dxa" w:w="3024"/>
            <w:shd w:val="clear" w:color="auto" w:fill="FFFFFF"/>
          </w:tcPr>
          <w:p>
            <w:r>
              <w:rPr>
                <w:rFonts w:ascii="Calibri" w:hAnsi="Calibri"/>
                <w:sz w:val="20"/>
              </w:rPr>
              <w:t>8-core x86-64</w:t>
            </w:r>
          </w:p>
        </w:tc>
      </w:tr>
      <w:tr>
        <w:tc>
          <w:tcPr>
            <w:tcW w:type="dxa" w:w="3024"/>
            <w:shd w:val="clear" w:color="auto" w:fill="F9FAFB"/>
          </w:tcPr>
          <w:p>
            <w:r>
              <w:rPr>
                <w:rFonts w:ascii="Calibri" w:hAnsi="Calibri"/>
                <w:sz w:val="20"/>
              </w:rPr>
              <w:t>RAM</w:t>
            </w:r>
          </w:p>
        </w:tc>
        <w:tc>
          <w:tcPr>
            <w:tcW w:type="dxa" w:w="3024"/>
            <w:shd w:val="clear" w:color="auto" w:fill="F9FAFB"/>
          </w:tcPr>
          <w:p>
            <w:r>
              <w:rPr>
                <w:rFonts w:ascii="Calibri" w:hAnsi="Calibri"/>
                <w:sz w:val="20"/>
              </w:rPr>
              <w:t>8 GB</w:t>
            </w:r>
          </w:p>
        </w:tc>
        <w:tc>
          <w:tcPr>
            <w:tcW w:type="dxa" w:w="3024"/>
            <w:shd w:val="clear" w:color="auto" w:fill="F9FAFB"/>
          </w:tcPr>
          <w:p>
            <w:r>
              <w:rPr>
                <w:rFonts w:ascii="Calibri" w:hAnsi="Calibri"/>
                <w:sz w:val="20"/>
              </w:rPr>
              <w:t>16 GB or more</w:t>
            </w:r>
          </w:p>
        </w:tc>
      </w:tr>
      <w:tr>
        <w:tc>
          <w:tcPr>
            <w:tcW w:type="dxa" w:w="3024"/>
            <w:shd w:val="clear" w:color="auto" w:fill="FFFFFF"/>
          </w:tcPr>
          <w:p>
            <w:r>
              <w:rPr>
                <w:rFonts w:ascii="Calibri" w:hAnsi="Calibri"/>
                <w:sz w:val="20"/>
              </w:rPr>
              <w:t>GPU</w:t>
            </w:r>
          </w:p>
        </w:tc>
        <w:tc>
          <w:tcPr>
            <w:tcW w:type="dxa" w:w="3024"/>
            <w:shd w:val="clear" w:color="auto" w:fill="FFFFFF"/>
          </w:tcPr>
          <w:p>
            <w:r>
              <w:rPr>
                <w:rFonts w:ascii="Calibri" w:hAnsi="Calibri"/>
                <w:sz w:val="20"/>
              </w:rPr>
              <w:t>Not required (CPU fallback)</w:t>
            </w:r>
          </w:p>
        </w:tc>
        <w:tc>
          <w:tcPr>
            <w:tcW w:type="dxa" w:w="3024"/>
            <w:shd w:val="clear" w:color="auto" w:fill="FFFFFF"/>
          </w:tcPr>
          <w:p>
            <w:r>
              <w:rPr>
                <w:rFonts w:ascii="Calibri" w:hAnsi="Calibri"/>
                <w:sz w:val="20"/>
              </w:rPr>
              <w:t>NVIDIA CUDA GPU, 8 GB VRAM</w:t>
            </w:r>
          </w:p>
        </w:tc>
      </w:tr>
      <w:tr>
        <w:tc>
          <w:tcPr>
            <w:tcW w:type="dxa" w:w="3024"/>
            <w:shd w:val="clear" w:color="auto" w:fill="F9FAFB"/>
          </w:tcPr>
          <w:p>
            <w:r>
              <w:rPr>
                <w:rFonts w:ascii="Calibri" w:hAnsi="Calibri"/>
                <w:sz w:val="20"/>
              </w:rPr>
              <w:t>Storage</w:t>
            </w:r>
          </w:p>
        </w:tc>
        <w:tc>
          <w:tcPr>
            <w:tcW w:type="dxa" w:w="3024"/>
            <w:shd w:val="clear" w:color="auto" w:fill="F9FAFB"/>
          </w:tcPr>
          <w:p>
            <w:r>
              <w:rPr>
                <w:rFonts w:ascii="Calibri" w:hAnsi="Calibri"/>
                <w:sz w:val="20"/>
              </w:rPr>
              <w:t>10 GB free</w:t>
            </w:r>
          </w:p>
        </w:tc>
        <w:tc>
          <w:tcPr>
            <w:tcW w:type="dxa" w:w="3024"/>
            <w:shd w:val="clear" w:color="auto" w:fill="F9FAFB"/>
          </w:tcPr>
          <w:p>
            <w:r>
              <w:rPr>
                <w:rFonts w:ascii="Calibri" w:hAnsi="Calibri"/>
                <w:sz w:val="20"/>
              </w:rPr>
              <w:t>100 GB+ SSD</w:t>
            </w:r>
          </w:p>
        </w:tc>
      </w:tr>
      <w:tr>
        <w:tc>
          <w:tcPr>
            <w:tcW w:type="dxa" w:w="3024"/>
            <w:shd w:val="clear" w:color="auto" w:fill="FFFFFF"/>
          </w:tcPr>
          <w:p>
            <w:r>
              <w:rPr>
                <w:rFonts w:ascii="Calibri" w:hAnsi="Calibri"/>
                <w:sz w:val="20"/>
              </w:rPr>
              <w:t>Network</w:t>
            </w:r>
          </w:p>
        </w:tc>
        <w:tc>
          <w:tcPr>
            <w:tcW w:type="dxa" w:w="3024"/>
            <w:shd w:val="clear" w:color="auto" w:fill="FFFFFF"/>
          </w:tcPr>
          <w:p>
            <w:r>
              <w:rPr>
                <w:rFonts w:ascii="Calibri" w:hAnsi="Calibri"/>
                <w:sz w:val="20"/>
              </w:rPr>
              <w:t>None (fully offline)</w:t>
            </w:r>
          </w:p>
        </w:tc>
        <w:tc>
          <w:tcPr>
            <w:tcW w:type="dxa" w:w="3024"/>
            <w:shd w:val="clear" w:color="auto" w:fill="FFFFFF"/>
          </w:tcPr>
          <w:p>
            <w:r>
              <w:rPr>
                <w:rFonts w:ascii="Calibri" w:hAnsi="Calibri"/>
                <w:sz w:val="20"/>
              </w:rPr>
              <w:t>For cloud sync and community</w:t>
            </w:r>
          </w:p>
        </w:tc>
      </w:tr>
    </w:tbl>
    <w:p/>
    <w:p>
      <w:pPr>
        <w:pStyle w:val="Heading2"/>
      </w:pPr>
      <w:r>
        <w:rPr>
          <w:rFonts w:ascii="Calibri" w:hAnsi="Calibri"/>
          <w:b/>
          <w:color w:val="0D9488"/>
          <w:sz w:val="30"/>
        </w:rPr>
        <w:t>2.2  Download</w:t>
      </w:r>
    </w:p>
    <w:p>
      <w:pPr>
        <w:spacing w:after="120"/>
      </w:pPr>
      <w:r>
        <w:rPr>
          <w:rFonts w:ascii="Calibri" w:hAnsi="Calibri"/>
          <w:b w:val="0"/>
          <w:i w:val="0"/>
          <w:sz w:val="22"/>
        </w:rPr>
        <w:t>Go to bcinexus.io/download and select your operating system. The installer is approximately 800 MB and includes all Python dependencies and all required components — no separate installations required.</w:t>
      </w:r>
    </w:p>
    <w:p>
      <w:pPr>
        <w:pStyle w:val="Heading2"/>
      </w:pPr>
      <w:r>
        <w:rPr>
          <w:rFonts w:ascii="Calibri" w:hAnsi="Calibri"/>
          <w:b/>
          <w:color w:val="0D9488"/>
          <w:sz w:val="30"/>
        </w:rPr>
        <w:t>2.3  Windows Installation</w:t>
      </w:r>
    </w:p>
    <w:p>
      <w:pPr>
        <w:pStyle w:val="ListBullet"/>
        <w:spacing w:after="60"/>
        <w:ind w:left="432"/>
      </w:pPr>
      <w:r>
        <w:rPr>
          <w:rFonts w:ascii="Calibri" w:hAnsi="Calibri"/>
          <w:b w:val="0"/>
          <w:i w:val="0"/>
          <w:sz w:val="21"/>
        </w:rPr>
        <w:t>Run BCILattice-Setup.exe as a normal user (no administrator rights required).</w:t>
      </w:r>
    </w:p>
    <w:p>
      <w:pPr>
        <w:pStyle w:val="ListBullet"/>
        <w:spacing w:after="60"/>
        <w:ind w:left="432"/>
      </w:pPr>
      <w:r>
        <w:rPr>
          <w:rFonts w:ascii="Calibri" w:hAnsi="Calibri"/>
          <w:b w:val="0"/>
          <w:i w:val="0"/>
          <w:sz w:val="21"/>
        </w:rPr>
        <w:t>Accept the licence agreement and choose an install location.</w:t>
      </w:r>
    </w:p>
    <w:p>
      <w:pPr>
        <w:pStyle w:val="ListBullet"/>
        <w:spacing w:after="60"/>
        <w:ind w:left="432"/>
      </w:pPr>
      <w:r>
        <w:rPr>
          <w:rFonts w:ascii="Calibri" w:hAnsi="Calibri"/>
          <w:b w:val="0"/>
          <w:i w:val="0"/>
          <w:sz w:val="21"/>
        </w:rPr>
        <w:t>Allow all required components to install when prompted.</w:t>
      </w:r>
    </w:p>
    <w:p>
      <w:pPr>
        <w:pStyle w:val="ListBullet"/>
        <w:spacing w:after="60"/>
        <w:ind w:left="432"/>
      </w:pPr>
      <w:r>
        <w:rPr>
          <w:rFonts w:ascii="Calibri" w:hAnsi="Calibri"/>
          <w:b w:val="0"/>
          <w:i w:val="0"/>
          <w:sz w:val="21"/>
        </w:rPr>
        <w:t>Click Install and wait for completion (~3 minutes).</w:t>
      </w:r>
    </w:p>
    <w:p>
      <w:pPr>
        <w:pStyle w:val="ListBullet"/>
        <w:spacing w:after="60"/>
        <w:ind w:left="432"/>
      </w:pPr>
      <w:r>
        <w:rPr>
          <w:rFonts w:ascii="Calibri" w:hAnsi="Calibri"/>
          <w:b w:val="0"/>
          <w:i w:val="0"/>
          <w:sz w:val="21"/>
        </w:rPr>
        <w:t>Launch BCILattice from the Start menu or desktop shortcut.</w:t>
      </w:r>
    </w:p>
    <w:p>
      <w:pPr>
        <w:pStyle w:val="Heading2"/>
      </w:pPr>
      <w:r>
        <w:rPr>
          <w:rFonts w:ascii="Calibri" w:hAnsi="Calibri"/>
          <w:b/>
          <w:color w:val="0D9488"/>
          <w:sz w:val="30"/>
        </w:rPr>
        <w:t>2.4  macOS Installation</w:t>
      </w:r>
    </w:p>
    <w:p>
      <w:pPr>
        <w:pStyle w:val="ListBullet"/>
        <w:spacing w:after="60"/>
        <w:ind w:left="432"/>
      </w:pPr>
      <w:r>
        <w:rPr>
          <w:rFonts w:ascii="Calibri" w:hAnsi="Calibri"/>
          <w:b w:val="0"/>
          <w:i w:val="0"/>
          <w:sz w:val="21"/>
        </w:rPr>
        <w:t>Open BCILattice.dmg and drag BCILattice.app to Applications.</w:t>
      </w:r>
    </w:p>
    <w:p>
      <w:pPr>
        <w:pStyle w:val="ListBullet"/>
        <w:spacing w:after="60"/>
        <w:ind w:left="432"/>
      </w:pPr>
      <w:r>
        <w:rPr>
          <w:rFonts w:ascii="Calibri" w:hAnsi="Calibri"/>
          <w:b w:val="0"/>
          <w:i w:val="0"/>
          <w:sz w:val="21"/>
        </w:rPr>
        <w:t>On first launch: right-click the app → Open (required by macOS Gatekeeper).</w:t>
      </w:r>
    </w:p>
    <w:p>
      <w:pPr>
        <w:pStyle w:val="ListBullet"/>
        <w:spacing w:after="60"/>
        <w:ind w:left="432"/>
      </w:pPr>
      <w:r>
        <w:rPr>
          <w:rFonts w:ascii="Calibri" w:hAnsi="Calibri"/>
          <w:b w:val="0"/>
          <w:i w:val="0"/>
          <w:sz w:val="21"/>
        </w:rPr>
        <w:t>Allow BCILattice through the Firewall when prompted.</w:t>
      </w:r>
    </w:p>
    <w:p>
      <w:pPr>
        <w:pStyle w:val="Heading2"/>
      </w:pPr>
      <w:r>
        <w:rPr>
          <w:rFonts w:ascii="Calibri" w:hAnsi="Calibri"/>
          <w:b/>
          <w:color w:val="0D9488"/>
          <w:sz w:val="30"/>
        </w:rPr>
        <w:t>2.5  Linux Installation</w:t>
      </w:r>
    </w:p>
    <w:p>
      <w:pPr>
        <w:pStyle w:val="ListBullet"/>
        <w:spacing w:after="60"/>
        <w:ind w:left="432"/>
      </w:pPr>
      <w:r>
        <w:rPr>
          <w:rFonts w:ascii="Calibri" w:hAnsi="Calibri"/>
          <w:b w:val="0"/>
          <w:i w:val="0"/>
          <w:sz w:val="21"/>
        </w:rPr>
        <w:t>Make the AppImage executable:  chmod +x BCILattice-installer.AppImage</w:t>
      </w:r>
    </w:p>
    <w:p>
      <w:pPr>
        <w:pStyle w:val="ListBullet"/>
        <w:spacing w:after="60"/>
        <w:ind w:left="432"/>
      </w:pPr>
      <w:r>
        <w:rPr>
          <w:rFonts w:ascii="Calibri" w:hAnsi="Calibri"/>
          <w:b w:val="0"/>
          <w:i w:val="0"/>
          <w:sz w:val="21"/>
        </w:rPr>
        <w:t>Run:  ./BCILattice-installer.AppImage</w:t>
      </w:r>
    </w:p>
    <w:p>
      <w:pPr>
        <w:pStyle w:val="Heading2"/>
      </w:pPr>
      <w:r>
        <w:rPr>
          <w:rFonts w:ascii="Calibri" w:hAnsi="Calibri"/>
          <w:b/>
          <w:color w:val="0D9488"/>
          <w:sz w:val="30"/>
        </w:rPr>
        <w:t>2.6  First Launch</w:t>
      </w:r>
    </w:p>
    <w:p>
      <w:pPr>
        <w:spacing w:after="120"/>
      </w:pPr>
      <w:r>
        <w:rPr>
          <w:rFonts w:ascii="Calibri" w:hAnsi="Calibri"/>
          <w:b w:val="0"/>
          <w:i w:val="0"/>
          <w:sz w:val="22"/>
        </w:rPr>
        <w:t>When BCILattice opens for the first time BCILattice initialises and performs a quick self-check. You will be invited to create a free BCINexus account. This is optional — all core features work offline — but an account enables cloud sync and community access.</w:t>
      </w:r>
    </w:p>
    <w:p>
      <w:pPr>
        <w:spacing w:before="80" w:after="160"/>
        <w:ind w:left="432" w:right="432"/>
      </w:pPr>
      <w:r>
        <w:rPr>
          <w:rFonts w:ascii="Calibri" w:hAnsi="Calibri"/>
          <w:b w:val="0"/>
          <w:i/>
          <w:color w:val="0D9488"/>
          <w:sz w:val="20"/>
        </w:rPr>
        <w:t>ℹ  BCILattice never uploads data automatically. An account is only required for cloud features you explicitly enable.</w:t>
      </w:r>
    </w:p>
    <w:p>
      <w:r>
        <w:br w:type="page"/>
      </w:r>
    </w:p>
    <w:p>
      <w:pPr>
        <w:pStyle w:val="Heading1"/>
      </w:pPr>
      <w:r>
        <w:rPr>
          <w:rFonts w:ascii="Calibri" w:hAnsi="Calibri"/>
          <w:b/>
          <w:color w:val="C084FC"/>
          <w:sz w:val="40"/>
        </w:rPr>
        <w:t>3. Data Manager</w:t>
      </w:r>
    </w:p>
    <w:p>
      <w:pPr>
        <w:spacing w:after="120"/>
      </w:pPr>
      <w:r>
        <w:rPr>
          <w:rFonts w:ascii="Calibri" w:hAnsi="Calibri"/>
          <w:b w:val="0"/>
          <w:i w:val="0"/>
          <w:sz w:val="22"/>
        </w:rPr>
        <w:t>The Data Manager is your entry point for every research session. It handles importing, previewing, and organising raw signal files from any supported acquisition system.</w:t>
      </w:r>
    </w:p>
    <w:p>
      <w:pPr>
        <w:pStyle w:val="Heading2"/>
      </w:pPr>
      <w:r>
        <w:rPr>
          <w:rFonts w:ascii="Calibri" w:hAnsi="Calibri"/>
          <w:b/>
          <w:color w:val="0D9488"/>
          <w:sz w:val="30"/>
        </w:rPr>
        <w:t>3.1  Supported File Formats</w:t>
      </w:r>
    </w:p>
    <w:tbl>
      <w:tblPr>
        <w:tblStyle w:val="TableGrid"/>
        <w:tblW w:type="auto" w:w="0"/>
        <w:tblLook w:firstColumn="1" w:firstRow="1" w:lastColumn="0" w:lastRow="0" w:noHBand="0" w:noVBand="1" w:val="04A0"/>
      </w:tblPr>
      <w:tblGrid>
        <w:gridCol w:w="3024"/>
        <w:gridCol w:w="3024"/>
        <w:gridCol w:w="3024"/>
      </w:tblGrid>
      <w:tr>
        <w:tc>
          <w:tcPr>
            <w:tcW w:type="dxa" w:w="3024"/>
            <w:shd w:val="clear" w:color="auto" w:fill="0D9488"/>
          </w:tcPr>
          <w:p>
            <w:pPr>
              <w:jc w:val="center"/>
            </w:pPr>
            <w:r>
              <w:rPr>
                <w:rFonts w:ascii="Calibri" w:hAnsi="Calibri"/>
                <w:b/>
                <w:color w:val="FFFFFF"/>
                <w:sz w:val="20"/>
              </w:rPr>
              <w:t>Modality</w:t>
            </w:r>
          </w:p>
        </w:tc>
        <w:tc>
          <w:tcPr>
            <w:tcW w:type="dxa" w:w="3024"/>
            <w:shd w:val="clear" w:color="auto" w:fill="0D9488"/>
          </w:tcPr>
          <w:p>
            <w:pPr>
              <w:jc w:val="center"/>
            </w:pPr>
            <w:r>
              <w:rPr>
                <w:rFonts w:ascii="Calibri" w:hAnsi="Calibri"/>
                <w:b/>
                <w:color w:val="FFFFFF"/>
                <w:sz w:val="20"/>
              </w:rPr>
              <w:t>Formats</w:t>
            </w:r>
          </w:p>
        </w:tc>
        <w:tc>
          <w:tcPr>
            <w:tcW w:type="dxa" w:w="3024"/>
            <w:shd w:val="clear" w:color="auto" w:fill="0D9488"/>
          </w:tcPr>
          <w:p>
            <w:pPr>
              <w:jc w:val="center"/>
            </w:pPr>
            <w:r>
              <w:rPr>
                <w:rFonts w:ascii="Calibri" w:hAnsi="Calibri"/>
                <w:b/>
                <w:color w:val="FFFFFF"/>
                <w:sz w:val="20"/>
              </w:rPr>
              <w:t>Notes</w:t>
            </w:r>
          </w:p>
        </w:tc>
      </w:tr>
      <w:tr>
        <w:tc>
          <w:tcPr>
            <w:tcW w:type="dxa" w:w="3024"/>
            <w:shd w:val="clear" w:color="auto" w:fill="F9FAFB"/>
          </w:tcPr>
          <w:p>
            <w:r>
              <w:rPr>
                <w:rFonts w:ascii="Calibri" w:hAnsi="Calibri"/>
                <w:sz w:val="20"/>
              </w:rPr>
              <w:t>EEG</w:t>
            </w:r>
          </w:p>
        </w:tc>
        <w:tc>
          <w:tcPr>
            <w:tcW w:type="dxa" w:w="3024"/>
            <w:shd w:val="clear" w:color="auto" w:fill="F9FAFB"/>
          </w:tcPr>
          <w:p>
            <w:r>
              <w:rPr>
                <w:rFonts w:ascii="Calibri" w:hAnsi="Calibri"/>
                <w:sz w:val="20"/>
              </w:rPr>
              <w:t>EDF, BDF, GDF, FIF, VHDR, SET, CNT, CSV, XLSX</w:t>
            </w:r>
          </w:p>
        </w:tc>
        <w:tc>
          <w:tcPr>
            <w:tcW w:type="dxa" w:w="3024"/>
            <w:shd w:val="clear" w:color="auto" w:fill="F9FAFB"/>
          </w:tcPr>
          <w:p>
            <w:r>
              <w:rPr>
                <w:rFonts w:ascii="Calibri" w:hAnsi="Calibri"/>
                <w:sz w:val="20"/>
              </w:rPr>
              <w:t>All major clinical and research EEG systems</w:t>
            </w:r>
          </w:p>
        </w:tc>
      </w:tr>
      <w:tr>
        <w:tc>
          <w:tcPr>
            <w:tcW w:type="dxa" w:w="3024"/>
            <w:shd w:val="clear" w:color="auto" w:fill="FFFFFF"/>
          </w:tcPr>
          <w:p>
            <w:r>
              <w:rPr>
                <w:rFonts w:ascii="Calibri" w:hAnsi="Calibri"/>
                <w:sz w:val="20"/>
              </w:rPr>
              <w:t>fNIRS</w:t>
            </w:r>
          </w:p>
        </w:tc>
        <w:tc>
          <w:tcPr>
            <w:tcW w:type="dxa" w:w="3024"/>
            <w:shd w:val="clear" w:color="auto" w:fill="FFFFFF"/>
          </w:tcPr>
          <w:p>
            <w:r>
              <w:rPr>
                <w:rFonts w:ascii="Calibri" w:hAnsi="Calibri"/>
                <w:sz w:val="20"/>
              </w:rPr>
              <w:t>SNIRF, FIF, TXT, CSV, XLSX</w:t>
            </w:r>
          </w:p>
        </w:tc>
        <w:tc>
          <w:tcPr>
            <w:tcW w:type="dxa" w:w="3024"/>
            <w:shd w:val="clear" w:color="auto" w:fill="FFFFFF"/>
          </w:tcPr>
          <w:p>
            <w:r>
              <w:rPr>
                <w:rFonts w:ascii="Calibri" w:hAnsi="Calibri"/>
                <w:sz w:val="20"/>
              </w:rPr>
              <w:t>SNIRF is the international standard format</w:t>
            </w:r>
          </w:p>
        </w:tc>
      </w:tr>
      <w:tr>
        <w:tc>
          <w:tcPr>
            <w:tcW w:type="dxa" w:w="3024"/>
            <w:shd w:val="clear" w:color="auto" w:fill="F9FAFB"/>
          </w:tcPr>
          <w:p>
            <w:r>
              <w:rPr>
                <w:rFonts w:ascii="Calibri" w:hAnsi="Calibri"/>
                <w:sz w:val="20"/>
              </w:rPr>
              <w:t>EMG</w:t>
            </w:r>
          </w:p>
        </w:tc>
        <w:tc>
          <w:tcPr>
            <w:tcW w:type="dxa" w:w="3024"/>
            <w:shd w:val="clear" w:color="auto" w:fill="F9FAFB"/>
          </w:tcPr>
          <w:p>
            <w:r>
              <w:rPr>
                <w:rFonts w:ascii="Calibri" w:hAnsi="Calibri"/>
                <w:sz w:val="20"/>
              </w:rPr>
              <w:t>EDF, BDF, GDF, FIF, TXT, CSV</w:t>
            </w:r>
          </w:p>
        </w:tc>
        <w:tc>
          <w:tcPr>
            <w:tcW w:type="dxa" w:w="3024"/>
            <w:shd w:val="clear" w:color="auto" w:fill="F9FAFB"/>
          </w:tcPr>
          <w:p>
            <w:r>
              <w:rPr>
                <w:rFonts w:ascii="Calibri" w:hAnsi="Calibri"/>
                <w:sz w:val="20"/>
              </w:rPr>
              <w:t>EMG from any clinical recorder</w:t>
            </w:r>
          </w:p>
        </w:tc>
      </w:tr>
    </w:tbl>
    <w:p/>
    <w:p>
      <w:pPr>
        <w:pStyle w:val="Heading2"/>
      </w:pPr>
      <w:r>
        <w:rPr>
          <w:rFonts w:ascii="Calibri" w:hAnsi="Calibri"/>
          <w:b/>
          <w:color w:val="0D9488"/>
          <w:sz w:val="30"/>
        </w:rPr>
        <w:t>3.2  Importing a Single File</w:t>
      </w:r>
    </w:p>
    <w:p>
      <w:pPr>
        <w:pStyle w:val="ListBullet"/>
        <w:spacing w:after="60"/>
        <w:ind w:left="432"/>
      </w:pPr>
      <w:r>
        <w:rPr>
          <w:rFonts w:ascii="Calibri" w:hAnsi="Calibri"/>
          <w:b w:val="0"/>
          <w:i w:val="0"/>
          <w:sz w:val="21"/>
        </w:rPr>
        <w:t>Click Data Manager in the left sidebar.</w:t>
      </w:r>
    </w:p>
    <w:p>
      <w:pPr>
        <w:pStyle w:val="ListBullet"/>
        <w:spacing w:after="60"/>
        <w:ind w:left="432"/>
      </w:pPr>
      <w:r>
        <w:rPr>
          <w:rFonts w:ascii="Calibri" w:hAnsi="Calibri"/>
          <w:b w:val="0"/>
          <w:i w:val="0"/>
          <w:sz w:val="21"/>
        </w:rPr>
        <w:t>Click Import Files and select your EEG, fNIRS, or EMG file.</w:t>
      </w:r>
    </w:p>
    <w:p>
      <w:pPr>
        <w:pStyle w:val="ListBullet"/>
        <w:spacing w:after="60"/>
        <w:ind w:left="432"/>
      </w:pPr>
      <w:r>
        <w:rPr>
          <w:rFonts w:ascii="Calibri" w:hAnsi="Calibri"/>
          <w:b w:val="0"/>
          <w:i w:val="0"/>
          <w:sz w:val="21"/>
        </w:rPr>
        <w:t>BCILattice previews the file: raw signal on the left, file metadata on the right.</w:t>
      </w:r>
    </w:p>
    <w:p>
      <w:pPr>
        <w:pStyle w:val="ListBullet"/>
        <w:spacing w:after="60"/>
        <w:ind w:left="432"/>
      </w:pPr>
      <w:r>
        <w:rPr>
          <w:rFonts w:ascii="Calibri" w:hAnsi="Calibri"/>
          <w:b w:val="0"/>
          <w:i w:val="0"/>
          <w:sz w:val="21"/>
        </w:rPr>
        <w:t>Select the label column (if your file contains class labels for supervised learning).</w:t>
      </w:r>
    </w:p>
    <w:p>
      <w:pPr>
        <w:pStyle w:val="ListBullet"/>
        <w:spacing w:after="60"/>
        <w:ind w:left="432"/>
      </w:pPr>
      <w:r>
        <w:rPr>
          <w:rFonts w:ascii="Calibri" w:hAnsi="Calibri"/>
          <w:b w:val="0"/>
          <w:i w:val="0"/>
          <w:sz w:val="21"/>
        </w:rPr>
        <w:t>Click Add to Session.</w:t>
      </w:r>
    </w:p>
    <w:p>
      <w:pPr>
        <w:pStyle w:val="Heading2"/>
      </w:pPr>
      <w:r>
        <w:rPr>
          <w:rFonts w:ascii="Calibri" w:hAnsi="Calibri"/>
          <w:b/>
          <w:color w:val="0D9488"/>
          <w:sz w:val="30"/>
        </w:rPr>
        <w:t>3.3  Importing a Multi-Subject Folder</w:t>
      </w:r>
    </w:p>
    <w:p>
      <w:pPr>
        <w:spacing w:after="120"/>
      </w:pPr>
      <w:r>
        <w:rPr>
          <w:rFonts w:ascii="Calibri" w:hAnsi="Calibri"/>
          <w:b w:val="0"/>
          <w:i w:val="0"/>
          <w:sz w:val="22"/>
        </w:rPr>
        <w:t>For studies with many subjects stored in a folder hierarchy:</w:t>
      </w:r>
    </w:p>
    <w:p>
      <w:pPr>
        <w:pStyle w:val="ListBullet"/>
        <w:spacing w:after="60"/>
        <w:ind w:left="432"/>
      </w:pPr>
      <w:r>
        <w:rPr>
          <w:rFonts w:ascii="Calibri" w:hAnsi="Calibri"/>
          <w:b w:val="0"/>
          <w:i w:val="0"/>
          <w:sz w:val="21"/>
        </w:rPr>
        <w:t>Click Import Folder and select the root directory.</w:t>
      </w:r>
    </w:p>
    <w:p>
      <w:pPr>
        <w:pStyle w:val="ListBullet"/>
        <w:spacing w:after="60"/>
        <w:ind w:left="432"/>
      </w:pPr>
      <w:r>
        <w:rPr>
          <w:rFonts w:ascii="Calibri" w:hAnsi="Calibri"/>
          <w:b w:val="0"/>
          <w:i w:val="0"/>
          <w:sz w:val="21"/>
        </w:rPr>
        <w:t>Set the folder depth (1–5 levels) matching your directory structure.</w:t>
      </w:r>
    </w:p>
    <w:p>
      <w:pPr>
        <w:pStyle w:val="ListBullet"/>
        <w:spacing w:after="60"/>
        <w:ind w:left="432"/>
      </w:pPr>
      <w:r>
        <w:rPr>
          <w:rFonts w:ascii="Calibri" w:hAnsi="Calibri"/>
          <w:b w:val="0"/>
          <w:i w:val="0"/>
          <w:sz w:val="21"/>
        </w:rPr>
        <w:t>BCILattice recursively scans and lists every compatible file.</w:t>
      </w:r>
    </w:p>
    <w:p>
      <w:pPr>
        <w:pStyle w:val="ListBullet"/>
        <w:spacing w:after="60"/>
        <w:ind w:left="432"/>
      </w:pPr>
      <w:r>
        <w:rPr>
          <w:rFonts w:ascii="Calibri" w:hAnsi="Calibri"/>
          <w:b w:val="0"/>
          <w:i w:val="0"/>
          <w:sz w:val="21"/>
        </w:rPr>
        <w:t>Configure a session name and label column, then click Import All.</w:t>
      </w:r>
    </w:p>
    <w:p>
      <w:pPr>
        <w:pStyle w:val="ListBullet"/>
        <w:spacing w:after="60"/>
        <w:ind w:left="432"/>
      </w:pPr>
      <w:r>
        <w:rPr>
          <w:rFonts w:ascii="Calibri" w:hAnsi="Calibri"/>
          <w:b w:val="0"/>
          <w:i w:val="0"/>
          <w:sz w:val="21"/>
        </w:rPr>
        <w:t>A live progress bar tracks the batch import.</w:t>
      </w:r>
    </w:p>
    <w:p>
      <w:pPr>
        <w:pStyle w:val="Heading2"/>
      </w:pPr>
      <w:r>
        <w:rPr>
          <w:rFonts w:ascii="Calibri" w:hAnsi="Calibri"/>
          <w:b/>
          <w:color w:val="0D9488"/>
          <w:sz w:val="30"/>
        </w:rPr>
        <w:t>3.4  Signal Preview</w:t>
      </w:r>
    </w:p>
    <w:p>
      <w:pPr>
        <w:spacing w:after="120"/>
      </w:pPr>
      <w:r>
        <w:rPr>
          <w:rFonts w:ascii="Calibri" w:hAnsi="Calibri"/>
          <w:b w:val="0"/>
          <w:i w:val="0"/>
          <w:sz w:val="22"/>
        </w:rPr>
        <w:t>Each imported file offers a dual preview: raw signal on the left panel, and a processed preview on the right (after preprocessing is applied). Use the preview to verify that the correct channels are loaded and that the signal looks as expected before running any analysis.</w:t>
      </w:r>
    </w:p>
    <w:p>
      <w:pPr>
        <w:pStyle w:val="Heading2"/>
      </w:pPr>
      <w:r>
        <w:rPr>
          <w:rFonts w:ascii="Calibri" w:hAnsi="Calibri"/>
          <w:b/>
          <w:color w:val="0D9488"/>
          <w:sz w:val="30"/>
        </w:rPr>
        <w:t>3.5  NeuralFlow Label Sync</w:t>
      </w:r>
    </w:p>
    <w:p>
      <w:pPr>
        <w:spacing w:after="120"/>
      </w:pPr>
      <w:r>
        <w:rPr>
          <w:rFonts w:ascii="Calibri" w:hAnsi="Calibri"/>
          <w:b w:val="0"/>
          <w:i w:val="0"/>
          <w:sz w:val="22"/>
        </w:rPr>
        <w:t>If you have designed a paradigm in NeuralFlow, set the label source to 'NeuralFlow Paradigm' in the label selector. BCILattice will use the paradigm timeline to generate labels automatically, aligned to the signal sampling rate.</w:t>
      </w:r>
    </w:p>
    <w:p>
      <w:r>
        <w:br w:type="page"/>
      </w:r>
    </w:p>
    <w:p>
      <w:pPr>
        <w:pStyle w:val="Heading1"/>
      </w:pPr>
      <w:r>
        <w:rPr>
          <w:rFonts w:ascii="Calibri" w:hAnsi="Calibri"/>
          <w:b/>
          <w:color w:val="C084FC"/>
          <w:sz w:val="40"/>
        </w:rPr>
        <w:t>4. Preprocessing</w:t>
      </w:r>
    </w:p>
    <w:p>
      <w:pPr>
        <w:spacing w:after="120"/>
      </w:pPr>
      <w:r>
        <w:rPr>
          <w:rFonts w:ascii="Calibri" w:hAnsi="Calibri"/>
          <w:b w:val="0"/>
          <w:i w:val="0"/>
          <w:sz w:val="22"/>
        </w:rPr>
        <w:t>The Preprocessing module provides a visual, no-code interface for applying research-grade signal cleaning. Every parameter you configure is saved in the session file so that the exact pipeline can be reproduced months later.</w:t>
      </w:r>
    </w:p>
    <w:p>
      <w:pPr>
        <w:pStyle w:val="Heading2"/>
      </w:pPr>
      <w:r>
        <w:rPr>
          <w:rFonts w:ascii="Calibri" w:hAnsi="Calibri"/>
          <w:b/>
          <w:color w:val="0D9488"/>
          <w:sz w:val="30"/>
        </w:rPr>
        <w:t>4.1  EEG Preprocessing</w:t>
      </w:r>
    </w:p>
    <w:tbl>
      <w:tblPr>
        <w:tblStyle w:val="TableGrid"/>
        <w:tblW w:type="auto" w:w="0"/>
        <w:tblLook w:firstColumn="1" w:firstRow="1" w:lastColumn="0" w:lastRow="0" w:noHBand="0" w:noVBand="1" w:val="04A0"/>
      </w:tblPr>
      <w:tblGrid>
        <w:gridCol w:w="3024"/>
        <w:gridCol w:w="3024"/>
        <w:gridCol w:w="3024"/>
      </w:tblGrid>
      <w:tr>
        <w:tc>
          <w:tcPr>
            <w:tcW w:type="dxa" w:w="3024"/>
            <w:shd w:val="clear" w:color="auto" w:fill="0D9488"/>
          </w:tcPr>
          <w:p>
            <w:pPr>
              <w:jc w:val="center"/>
            </w:pPr>
            <w:r>
              <w:rPr>
                <w:rFonts w:ascii="Calibri" w:hAnsi="Calibri"/>
                <w:b/>
                <w:color w:val="FFFFFF"/>
                <w:sz w:val="20"/>
              </w:rPr>
              <w:t>Setting</w:t>
            </w:r>
          </w:p>
        </w:tc>
        <w:tc>
          <w:tcPr>
            <w:tcW w:type="dxa" w:w="3024"/>
            <w:shd w:val="clear" w:color="auto" w:fill="0D9488"/>
          </w:tcPr>
          <w:p>
            <w:pPr>
              <w:jc w:val="center"/>
            </w:pPr>
            <w:r>
              <w:rPr>
                <w:rFonts w:ascii="Calibri" w:hAnsi="Calibri"/>
                <w:b/>
                <w:color w:val="FFFFFF"/>
                <w:sz w:val="20"/>
              </w:rPr>
              <w:t>Options</w:t>
            </w:r>
          </w:p>
        </w:tc>
        <w:tc>
          <w:tcPr>
            <w:tcW w:type="dxa" w:w="3024"/>
            <w:shd w:val="clear" w:color="auto" w:fill="0D9488"/>
          </w:tcPr>
          <w:p>
            <w:pPr>
              <w:jc w:val="center"/>
            </w:pPr>
            <w:r>
              <w:rPr>
                <w:rFonts w:ascii="Calibri" w:hAnsi="Calibri"/>
                <w:b/>
                <w:color w:val="FFFFFF"/>
                <w:sz w:val="20"/>
              </w:rPr>
              <w:t>Typical Value</w:t>
            </w:r>
          </w:p>
        </w:tc>
      </w:tr>
      <w:tr>
        <w:tc>
          <w:tcPr>
            <w:tcW w:type="dxa" w:w="3024"/>
            <w:shd w:val="clear" w:color="auto" w:fill="F9FAFB"/>
          </w:tcPr>
          <w:p>
            <w:r>
              <w:rPr>
                <w:rFonts w:ascii="Calibri" w:hAnsi="Calibri"/>
                <w:sz w:val="20"/>
              </w:rPr>
              <w:t>Bandpass filter</w:t>
            </w:r>
          </w:p>
        </w:tc>
        <w:tc>
          <w:tcPr>
            <w:tcW w:type="dxa" w:w="3024"/>
            <w:shd w:val="clear" w:color="auto" w:fill="F9FAFB"/>
          </w:tcPr>
          <w:p>
            <w:r>
              <w:rPr>
                <w:rFonts w:ascii="Calibri" w:hAnsi="Calibri"/>
                <w:sz w:val="20"/>
              </w:rPr>
              <w:t>Low cutoff (Hz) and High cutoff (Hz)</w:t>
            </w:r>
          </w:p>
        </w:tc>
        <w:tc>
          <w:tcPr>
            <w:tcW w:type="dxa" w:w="3024"/>
            <w:shd w:val="clear" w:color="auto" w:fill="F9FAFB"/>
          </w:tcPr>
          <w:p>
            <w:r>
              <w:rPr>
                <w:rFonts w:ascii="Calibri" w:hAnsi="Calibri"/>
                <w:sz w:val="20"/>
              </w:rPr>
              <w:t>0.5 – 40 Hz</w:t>
            </w:r>
          </w:p>
        </w:tc>
      </w:tr>
      <w:tr>
        <w:tc>
          <w:tcPr>
            <w:tcW w:type="dxa" w:w="3024"/>
            <w:shd w:val="clear" w:color="auto" w:fill="FFFFFF"/>
          </w:tcPr>
          <w:p>
            <w:r>
              <w:rPr>
                <w:rFonts w:ascii="Calibri" w:hAnsi="Calibri"/>
                <w:sz w:val="20"/>
              </w:rPr>
              <w:t>Notch filter</w:t>
            </w:r>
          </w:p>
        </w:tc>
        <w:tc>
          <w:tcPr>
            <w:tcW w:type="dxa" w:w="3024"/>
            <w:shd w:val="clear" w:color="auto" w:fill="FFFFFF"/>
          </w:tcPr>
          <w:p>
            <w:r>
              <w:rPr>
                <w:rFonts w:ascii="Calibri" w:hAnsi="Calibri"/>
                <w:sz w:val="20"/>
              </w:rPr>
              <w:t>50 Hz or 60 Hz + harmonics (up to 2)</w:t>
            </w:r>
          </w:p>
        </w:tc>
        <w:tc>
          <w:tcPr>
            <w:tcW w:type="dxa" w:w="3024"/>
            <w:shd w:val="clear" w:color="auto" w:fill="FFFFFF"/>
          </w:tcPr>
          <w:p>
            <w:r>
              <w:rPr>
                <w:rFonts w:ascii="Calibri" w:hAnsi="Calibri"/>
                <w:sz w:val="20"/>
              </w:rPr>
              <w:t>50 Hz (Europe) / 60 Hz (USA)</w:t>
            </w:r>
          </w:p>
        </w:tc>
      </w:tr>
      <w:tr>
        <w:tc>
          <w:tcPr>
            <w:tcW w:type="dxa" w:w="3024"/>
            <w:shd w:val="clear" w:color="auto" w:fill="F9FAFB"/>
          </w:tcPr>
          <w:p>
            <w:r>
              <w:rPr>
                <w:rFonts w:ascii="Calibri" w:hAnsi="Calibri"/>
                <w:sz w:val="20"/>
              </w:rPr>
              <w:t>Re-referencing</w:t>
            </w:r>
          </w:p>
        </w:tc>
        <w:tc>
          <w:tcPr>
            <w:tcW w:type="dxa" w:w="3024"/>
            <w:shd w:val="clear" w:color="auto" w:fill="F9FAFB"/>
          </w:tcPr>
          <w:p>
            <w:r>
              <w:rPr>
                <w:rFonts w:ascii="Calibri" w:hAnsi="Calibri"/>
                <w:sz w:val="20"/>
              </w:rPr>
              <w:t>CAR, Linked Mastoids, Cz, None</w:t>
            </w:r>
          </w:p>
        </w:tc>
        <w:tc>
          <w:tcPr>
            <w:tcW w:type="dxa" w:w="3024"/>
            <w:shd w:val="clear" w:color="auto" w:fill="F9FAFB"/>
          </w:tcPr>
          <w:p>
            <w:r>
              <w:rPr>
                <w:rFonts w:ascii="Calibri" w:hAnsi="Calibri"/>
                <w:sz w:val="20"/>
              </w:rPr>
              <w:t>CAR</w:t>
            </w:r>
          </w:p>
        </w:tc>
      </w:tr>
      <w:tr>
        <w:tc>
          <w:tcPr>
            <w:tcW w:type="dxa" w:w="3024"/>
            <w:shd w:val="clear" w:color="auto" w:fill="FFFFFF"/>
          </w:tcPr>
          <w:p>
            <w:r>
              <w:rPr>
                <w:rFonts w:ascii="Calibri" w:hAnsi="Calibri"/>
                <w:sz w:val="20"/>
              </w:rPr>
              <w:t>Resampling</w:t>
            </w:r>
          </w:p>
        </w:tc>
        <w:tc>
          <w:tcPr>
            <w:tcW w:type="dxa" w:w="3024"/>
            <w:shd w:val="clear" w:color="auto" w:fill="FFFFFF"/>
          </w:tcPr>
          <w:p>
            <w:r>
              <w:rPr>
                <w:rFonts w:ascii="Calibri" w:hAnsi="Calibri"/>
                <w:sz w:val="20"/>
              </w:rPr>
              <w:t>Target sampling rate (Hz)</w:t>
            </w:r>
          </w:p>
        </w:tc>
        <w:tc>
          <w:tcPr>
            <w:tcW w:type="dxa" w:w="3024"/>
            <w:shd w:val="clear" w:color="auto" w:fill="FFFFFF"/>
          </w:tcPr>
          <w:p>
            <w:r>
              <w:rPr>
                <w:rFonts w:ascii="Calibri" w:hAnsi="Calibri"/>
                <w:sz w:val="20"/>
              </w:rPr>
              <w:t>250 Hz</w:t>
            </w:r>
          </w:p>
        </w:tc>
      </w:tr>
    </w:tbl>
    <w:p/>
    <w:p>
      <w:pPr>
        <w:pStyle w:val="Heading2"/>
      </w:pPr>
      <w:r>
        <w:rPr>
          <w:rFonts w:ascii="Calibri" w:hAnsi="Calibri"/>
          <w:b/>
          <w:color w:val="0D9488"/>
          <w:sz w:val="30"/>
        </w:rPr>
        <w:t>4.2  fNIRS Preprocessing Pipeline</w:t>
      </w:r>
    </w:p>
    <w:p>
      <w:pPr>
        <w:spacing w:after="120"/>
      </w:pPr>
      <w:r>
        <w:rPr>
          <w:rFonts w:ascii="Calibri" w:hAnsi="Calibri"/>
          <w:b w:val="0"/>
          <w:i w:val="0"/>
          <w:sz w:val="22"/>
        </w:rPr>
        <w:t>The fNIRS pipeline runs automatically in sequence when enabled:</w:t>
      </w:r>
    </w:p>
    <w:p>
      <w:pPr>
        <w:pStyle w:val="ListBullet"/>
        <w:spacing w:after="60"/>
        <w:ind w:left="432"/>
      </w:pPr>
      <w:r>
        <w:rPr>
          <w:rFonts w:ascii="Calibri" w:hAnsi="Calibri"/>
          <w:b w:val="0"/>
          <w:i w:val="0"/>
          <w:sz w:val="21"/>
        </w:rPr>
        <w:t>TDDR — Temporal Derivative Distribution Repair for motion artefact correction</w:t>
      </w:r>
    </w:p>
    <w:p>
      <w:pPr>
        <w:pStyle w:val="ListBullet"/>
        <w:spacing w:after="60"/>
        <w:ind w:left="432"/>
      </w:pPr>
      <w:r>
        <w:rPr>
          <w:rFonts w:ascii="Calibri" w:hAnsi="Calibri"/>
          <w:b w:val="0"/>
          <w:i w:val="0"/>
          <w:sz w:val="21"/>
        </w:rPr>
        <w:t>Optical Density conversion</w:t>
      </w:r>
    </w:p>
    <w:p>
      <w:pPr>
        <w:pStyle w:val="ListBullet"/>
        <w:spacing w:after="60"/>
        <w:ind w:left="432"/>
      </w:pPr>
      <w:r>
        <w:rPr>
          <w:rFonts w:ascii="Calibri" w:hAnsi="Calibri"/>
          <w:b w:val="0"/>
          <w:i w:val="0"/>
          <w:sz w:val="21"/>
        </w:rPr>
        <w:t>Z-score detrending (baseline drift removal)</w:t>
      </w:r>
    </w:p>
    <w:p>
      <w:pPr>
        <w:pStyle w:val="ListBullet"/>
        <w:spacing w:after="60"/>
        <w:ind w:left="432"/>
      </w:pPr>
      <w:r>
        <w:rPr>
          <w:rFonts w:ascii="Calibri" w:hAnsi="Calibri"/>
          <w:b w:val="0"/>
          <w:i w:val="0"/>
          <w:sz w:val="21"/>
        </w:rPr>
        <w:t>Short-Channel Regression (SSR) for superficial signal removal</w:t>
      </w:r>
    </w:p>
    <w:p>
      <w:pPr>
        <w:pStyle w:val="ListBullet"/>
        <w:spacing w:after="60"/>
        <w:ind w:left="432"/>
      </w:pPr>
      <w:r>
        <w:rPr>
          <w:rFonts w:ascii="Calibri" w:hAnsi="Calibri"/>
          <w:b w:val="0"/>
          <w:i w:val="0"/>
          <w:sz w:val="21"/>
        </w:rPr>
        <w:t>Beer-Lambert Law conversion to oxyhaemoglobin (HbO) and deoxyhaemoglobin (HbR)</w:t>
      </w:r>
    </w:p>
    <w:p>
      <w:pPr>
        <w:pStyle w:val="Heading2"/>
      </w:pPr>
      <w:r>
        <w:rPr>
          <w:rFonts w:ascii="Calibri" w:hAnsi="Calibri"/>
          <w:b/>
          <w:color w:val="0D9488"/>
          <w:sz w:val="30"/>
        </w:rPr>
        <w:t>4.3  EMG Preprocessing</w:t>
      </w:r>
    </w:p>
    <w:p>
      <w:pPr>
        <w:pStyle w:val="ListBullet"/>
        <w:spacing w:after="60"/>
        <w:ind w:left="432"/>
      </w:pPr>
      <w:r>
        <w:rPr>
          <w:rFonts w:ascii="Calibri" w:hAnsi="Calibri"/>
          <w:b w:val="0"/>
          <w:i w:val="0"/>
          <w:sz w:val="21"/>
        </w:rPr>
        <w:t>Full-wave rectification — converts negative signal values to positive</w:t>
      </w:r>
    </w:p>
    <w:p>
      <w:pPr>
        <w:pStyle w:val="ListBullet"/>
        <w:spacing w:after="60"/>
        <w:ind w:left="432"/>
      </w:pPr>
      <w:r>
        <w:rPr>
          <w:rFonts w:ascii="Calibri" w:hAnsi="Calibri"/>
          <w:b w:val="0"/>
          <w:i w:val="0"/>
          <w:sz w:val="21"/>
        </w:rPr>
        <w:t>Envelope extraction — smoothed amplitude envelope for event detection</w:t>
      </w:r>
    </w:p>
    <w:p>
      <w:pPr>
        <w:pStyle w:val="Heading2"/>
      </w:pPr>
      <w:r>
        <w:rPr>
          <w:rFonts w:ascii="Calibri" w:hAnsi="Calibri"/>
          <w:b/>
          <w:color w:val="0D9488"/>
          <w:sz w:val="30"/>
        </w:rPr>
        <w:t>4.4  Custom Python Code Override</w:t>
      </w:r>
    </w:p>
    <w:p>
      <w:pPr>
        <w:spacing w:after="120"/>
      </w:pPr>
      <w:r>
        <w:rPr>
          <w:rFonts w:ascii="Calibri" w:hAnsi="Calibri"/>
          <w:b w:val="0"/>
          <w:i w:val="0"/>
          <w:sz w:val="22"/>
        </w:rPr>
        <w:t>Every preprocessing step can be overridden with a custom Python function. Click the 'Custom Code' toggle in any preprocessing step and write your function in the built-in code editor. The function receives the MNE Raw object and must return it:</w:t>
      </w:r>
    </w:p>
    <w:p>
      <w:pPr>
        <w:ind w:left="576"/>
      </w:pPr>
      <w:r>
        <w:rPr>
          <w:rFonts w:ascii="Courier New" w:hAnsi="Courier New"/>
          <w:b w:val="0"/>
          <w:i w:val="0"/>
          <w:color w:val="1E1E2E"/>
          <w:sz w:val="19"/>
        </w:rPr>
        <w:t>def custom_process(raw):</w:t>
        <w:br/>
        <w:t xml:space="preserve">    # raw is an MNE Raw object</w:t>
        <w:br/>
        <w:t xml:space="preserve">    raw.filter(1.0, 45.0)</w:t>
        <w:br/>
        <w:t xml:space="preserve">    return raw</w:t>
      </w:r>
    </w:p>
    <w:p>
      <w:pPr>
        <w:pStyle w:val="Heading2"/>
      </w:pPr>
      <w:r>
        <w:rPr>
          <w:rFonts w:ascii="Calibri" w:hAnsi="Calibri"/>
          <w:b/>
          <w:color w:val="0D9488"/>
          <w:sz w:val="30"/>
        </w:rPr>
        <w:t>4.5  Before/After Preview</w:t>
      </w:r>
    </w:p>
    <w:p>
      <w:pPr>
        <w:spacing w:after="120"/>
      </w:pPr>
      <w:r>
        <w:rPr>
          <w:rFonts w:ascii="Calibri" w:hAnsi="Calibri"/>
          <w:b w:val="0"/>
          <w:i w:val="0"/>
          <w:sz w:val="22"/>
        </w:rPr>
        <w:t>Click Preview after configuring the pipeline to see the raw and processed signals side by side. The preview runs in a background worker so it does not block the UI.</w:t>
      </w:r>
    </w:p>
    <w:p>
      <w:r>
        <w:br w:type="page"/>
      </w:r>
    </w:p>
    <w:p>
      <w:pPr>
        <w:pStyle w:val="Heading1"/>
      </w:pPr>
      <w:r>
        <w:rPr>
          <w:rFonts w:ascii="Calibri" w:hAnsi="Calibri"/>
          <w:b/>
          <w:color w:val="C084FC"/>
          <w:sz w:val="40"/>
        </w:rPr>
        <w:t>5. NeuralFlow — Visual Paradigm Designer</w:t>
      </w:r>
    </w:p>
    <w:p>
      <w:pPr>
        <w:spacing w:after="120"/>
      </w:pPr>
      <w:r>
        <w:rPr>
          <w:rFonts w:ascii="Calibri" w:hAnsi="Calibri"/>
          <w:b w:val="0"/>
          <w:i w:val="0"/>
          <w:sz w:val="22"/>
        </w:rPr>
        <w:t>NeuralFlow is a drag-and-drop block-and-port canvas for designing BCI paradigms without writing code. Blocks represent signal sources, processing steps, and output targets. Typed ports prevent incompatible connections at design time.</w:t>
      </w:r>
    </w:p>
    <w:p>
      <w:pPr>
        <w:pStyle w:val="Heading2"/>
      </w:pPr>
      <w:r>
        <w:rPr>
          <w:rFonts w:ascii="Calibri" w:hAnsi="Calibri"/>
          <w:b/>
          <w:color w:val="0D9488"/>
          <w:sz w:val="30"/>
        </w:rPr>
        <w:t>5.1  Opening NeuralFlow</w:t>
      </w:r>
    </w:p>
    <w:p>
      <w:pPr>
        <w:pStyle w:val="ListBullet"/>
        <w:spacing w:after="60"/>
        <w:ind w:left="432"/>
      </w:pPr>
      <w:r>
        <w:rPr>
          <w:rFonts w:ascii="Calibri" w:hAnsi="Calibri"/>
          <w:b w:val="0"/>
          <w:i w:val="0"/>
          <w:sz w:val="21"/>
        </w:rPr>
        <w:t>Click Neural Flow in the left sidebar.</w:t>
      </w:r>
    </w:p>
    <w:p>
      <w:pPr>
        <w:pStyle w:val="ListBullet"/>
        <w:spacing w:after="60"/>
        <w:ind w:left="432"/>
      </w:pPr>
      <w:r>
        <w:rPr>
          <w:rFonts w:ascii="Calibri" w:hAnsi="Calibri"/>
          <w:b w:val="0"/>
          <w:i w:val="0"/>
          <w:sz w:val="21"/>
        </w:rPr>
        <w:t>The canvas opens with the block palette on the left and the property inspector on the right.</w:t>
      </w:r>
    </w:p>
    <w:p>
      <w:pPr>
        <w:pStyle w:val="Heading2"/>
      </w:pPr>
      <w:r>
        <w:rPr>
          <w:rFonts w:ascii="Calibri" w:hAnsi="Calibri"/>
          <w:b/>
          <w:color w:val="0D9488"/>
          <w:sz w:val="30"/>
        </w:rPr>
        <w:t>5.2  Adding Blocks</w:t>
      </w:r>
    </w:p>
    <w:p>
      <w:pPr>
        <w:pStyle w:val="ListBullet"/>
        <w:spacing w:after="60"/>
        <w:ind w:left="432"/>
      </w:pPr>
      <w:r>
        <w:rPr>
          <w:rFonts w:ascii="Calibri" w:hAnsi="Calibri"/>
          <w:b w:val="0"/>
          <w:i w:val="0"/>
          <w:sz w:val="21"/>
        </w:rPr>
        <w:t>Drag a block from the palette onto the canvas, or double-click the canvas to open the block search.</w:t>
      </w:r>
    </w:p>
    <w:p>
      <w:pPr>
        <w:pStyle w:val="ListBullet"/>
        <w:spacing w:after="60"/>
        <w:ind w:left="432"/>
      </w:pPr>
      <w:r>
        <w:rPr>
          <w:rFonts w:ascii="Calibri" w:hAnsi="Calibri"/>
          <w:b w:val="0"/>
          <w:i w:val="0"/>
          <w:sz w:val="21"/>
        </w:rPr>
        <w:t>Available block types include: EEG Source, Bandpass, CAR Reference, FBCSP, LDA, Output, and any blocks from installed community paradigms.</w:t>
      </w:r>
    </w:p>
    <w:p>
      <w:pPr>
        <w:pStyle w:val="Heading2"/>
      </w:pPr>
      <w:r>
        <w:rPr>
          <w:rFonts w:ascii="Calibri" w:hAnsi="Calibri"/>
          <w:b/>
          <w:color w:val="0D9488"/>
          <w:sz w:val="30"/>
        </w:rPr>
        <w:t>5.3  Connecting Blocks</w:t>
      </w:r>
    </w:p>
    <w:p>
      <w:pPr>
        <w:pStyle w:val="ListBullet"/>
        <w:spacing w:after="60"/>
        <w:ind w:left="432"/>
      </w:pPr>
      <w:r>
        <w:rPr>
          <w:rFonts w:ascii="Calibri" w:hAnsi="Calibri"/>
          <w:b w:val="0"/>
          <w:i w:val="0"/>
          <w:sz w:val="21"/>
        </w:rPr>
        <w:t>Click an output port (right side of a block) and drag to an input port (left side of another block).</w:t>
      </w:r>
    </w:p>
    <w:p>
      <w:pPr>
        <w:pStyle w:val="ListBullet"/>
        <w:spacing w:after="60"/>
        <w:ind w:left="432"/>
      </w:pPr>
      <w:r>
        <w:rPr>
          <w:rFonts w:ascii="Calibri" w:hAnsi="Calibri"/>
          <w:b w:val="0"/>
          <w:i w:val="0"/>
          <w:sz w:val="21"/>
        </w:rPr>
        <w:t>Ports are colour-coded by data type. Incompatible types cannot be connected — BCILattice prevents the connection and shows an error in the inspector.</w:t>
      </w:r>
    </w:p>
    <w:p>
      <w:pPr>
        <w:pStyle w:val="ListBullet"/>
        <w:spacing w:after="60"/>
        <w:ind w:left="432"/>
      </w:pPr>
      <w:r>
        <w:rPr>
          <w:rFonts w:ascii="Calibri" w:hAnsi="Calibri"/>
          <w:b w:val="0"/>
          <w:i w:val="0"/>
          <w:sz w:val="21"/>
        </w:rPr>
        <w:t>Delete a connection by clicking it and pressing Delete.</w:t>
      </w:r>
    </w:p>
    <w:p>
      <w:pPr>
        <w:pStyle w:val="Heading2"/>
      </w:pPr>
      <w:r>
        <w:rPr>
          <w:rFonts w:ascii="Calibri" w:hAnsi="Calibri"/>
          <w:b/>
          <w:color w:val="0D9488"/>
          <w:sz w:val="30"/>
        </w:rPr>
        <w:t>5.4  Block Properties</w:t>
      </w:r>
    </w:p>
    <w:p>
      <w:pPr>
        <w:spacing w:after="120"/>
      </w:pPr>
      <w:r>
        <w:rPr>
          <w:rFonts w:ascii="Calibri" w:hAnsi="Calibri"/>
          <w:b w:val="0"/>
          <w:i w:val="0"/>
          <w:sz w:val="22"/>
        </w:rPr>
        <w:t>Click any block to open it in the Property Inspector panel on the right. Every configurable parameter appears here with a type-appropriate input field (text field, number slider, dropdown). Changes take effect immediately.</w:t>
      </w:r>
    </w:p>
    <w:p>
      <w:pPr>
        <w:pStyle w:val="Heading2"/>
      </w:pPr>
      <w:r>
        <w:rPr>
          <w:rFonts w:ascii="Calibri" w:hAnsi="Calibri"/>
          <w:b/>
          <w:color w:val="0D9488"/>
          <w:sz w:val="30"/>
        </w:rPr>
        <w:t>5.5  Compiling a Paradigm</w:t>
      </w:r>
    </w:p>
    <w:p>
      <w:pPr>
        <w:pStyle w:val="ListBullet"/>
        <w:spacing w:after="60"/>
        <w:ind w:left="432"/>
      </w:pPr>
      <w:r>
        <w:rPr>
          <w:rFonts w:ascii="Calibri" w:hAnsi="Calibri"/>
          <w:b w:val="0"/>
          <w:i w:val="0"/>
          <w:sz w:val="21"/>
        </w:rPr>
        <w:t>Click Compile in the top toolbar.</w:t>
      </w:r>
    </w:p>
    <w:p>
      <w:pPr>
        <w:pStyle w:val="ListBullet"/>
        <w:spacing w:after="60"/>
        <w:ind w:left="432"/>
      </w:pPr>
      <w:r>
        <w:rPr>
          <w:rFonts w:ascii="Calibri" w:hAnsi="Calibri"/>
          <w:b w:val="0"/>
          <w:i w:val="0"/>
          <w:sz w:val="21"/>
        </w:rPr>
        <w:t>BCILattice validates all port connections and required parameters.</w:t>
      </w:r>
    </w:p>
    <w:p>
      <w:pPr>
        <w:pStyle w:val="ListBullet"/>
        <w:spacing w:after="60"/>
        <w:ind w:left="432"/>
      </w:pPr>
      <w:r>
        <w:rPr>
          <w:rFonts w:ascii="Calibri" w:hAnsi="Calibri"/>
          <w:b w:val="0"/>
          <w:i w:val="0"/>
          <w:sz w:val="21"/>
        </w:rPr>
        <w:t>Errors are listed in the inspector — fix each one and re-compile.</w:t>
      </w:r>
    </w:p>
    <w:p>
      <w:pPr>
        <w:pStyle w:val="ListBullet"/>
        <w:spacing w:after="60"/>
        <w:ind w:left="432"/>
      </w:pPr>
      <w:r>
        <w:rPr>
          <w:rFonts w:ascii="Calibri" w:hAnsi="Calibri"/>
          <w:b w:val="0"/>
          <w:i w:val="0"/>
          <w:sz w:val="21"/>
        </w:rPr>
        <w:t>A successful compile produces a validated paradigm ready for export or use in the ML pipeline.</w:t>
      </w:r>
    </w:p>
    <w:p>
      <w:pPr>
        <w:pStyle w:val="Heading2"/>
      </w:pPr>
      <w:r>
        <w:rPr>
          <w:rFonts w:ascii="Calibri" w:hAnsi="Calibri"/>
          <w:b/>
          <w:color w:val="0D9488"/>
          <w:sz w:val="30"/>
        </w:rPr>
        <w:t>5.6  Exporting</w:t>
      </w:r>
    </w:p>
    <w:p>
      <w:pPr>
        <w:pStyle w:val="ListBullet"/>
        <w:spacing w:after="60"/>
        <w:ind w:left="432"/>
      </w:pPr>
      <w:r>
        <w:rPr>
          <w:rFonts w:ascii="Calibri" w:hAnsi="Calibri"/>
          <w:b w:val="0"/>
          <w:i w:val="0"/>
          <w:sz w:val="21"/>
        </w:rPr>
        <w:t>Binary .nflow — compact, version-controlled format for local storage and team sharing.</w:t>
      </w:r>
    </w:p>
    <w:p>
      <w:pPr>
        <w:pStyle w:val="ListBullet"/>
        <w:spacing w:after="60"/>
        <w:ind w:left="432"/>
      </w:pPr>
      <w:r>
        <w:rPr>
          <w:rFonts w:ascii="Calibri" w:hAnsi="Calibri"/>
          <w:b w:val="0"/>
          <w:i w:val="0"/>
          <w:sz w:val="21"/>
        </w:rPr>
        <w:t>JSON — human-readable format for debugging or external tool integration.</w:t>
      </w:r>
    </w:p>
    <w:p>
      <w:pPr>
        <w:pStyle w:val="Heading2"/>
      </w:pPr>
      <w:r>
        <w:rPr>
          <w:rFonts w:ascii="Calibri" w:hAnsi="Calibri"/>
          <w:b/>
          <w:color w:val="0D9488"/>
          <w:sz w:val="30"/>
        </w:rPr>
        <w:t>5.7  Importing a Community Paradigm</w:t>
      </w:r>
    </w:p>
    <w:p>
      <w:pPr>
        <w:spacing w:after="120"/>
      </w:pPr>
      <w:r>
        <w:rPr>
          <w:rFonts w:ascii="Calibri" w:hAnsi="Calibri"/>
          <w:b w:val="0"/>
          <w:i w:val="0"/>
          <w:sz w:val="22"/>
        </w:rPr>
        <w:t>Browse community paradigms at bcinexus.io/pipelines. Click Import into BCILattice to open a bcilattice:// deep link. BCILattice opens and loads the paradigm directly onto the NeuralFlow canvas. You can then customise it for your own study.</w:t>
      </w:r>
    </w:p>
    <w:p>
      <w:pPr>
        <w:pStyle w:val="Heading2"/>
      </w:pPr>
      <w:r>
        <w:rPr>
          <w:rFonts w:ascii="Calibri" w:hAnsi="Calibri"/>
          <w:b/>
          <w:color w:val="0D9488"/>
          <w:sz w:val="30"/>
        </w:rPr>
        <w:t>5.8  Timeline and Label Generation</w:t>
      </w:r>
    </w:p>
    <w:p>
      <w:pPr>
        <w:spacing w:after="120"/>
      </w:pPr>
      <w:r>
        <w:rPr>
          <w:rFonts w:ascii="Calibri" w:hAnsi="Calibri"/>
          <w:b w:val="0"/>
          <w:i w:val="0"/>
          <w:sz w:val="22"/>
        </w:rPr>
        <w:t>The Timeline view (below the canvas) shows the temporal structure of the paradigm. Set the label generation rate (samples per second) to align labels with your signal sampling rate. The generated label column is automatically synchronised with the Data Manager.</w:t>
      </w:r>
    </w:p>
    <w:p>
      <w:r>
        <w:br w:type="page"/>
      </w:r>
    </w:p>
    <w:p>
      <w:pPr>
        <w:pStyle w:val="Heading1"/>
      </w:pPr>
      <w:r>
        <w:rPr>
          <w:rFonts w:ascii="Calibri" w:hAnsi="Calibri"/>
          <w:b/>
          <w:color w:val="C084FC"/>
          <w:sz w:val="40"/>
        </w:rPr>
        <w:t>6. ML Suite — Machine Learning Pipeline</w:t>
      </w:r>
    </w:p>
    <w:p>
      <w:pPr>
        <w:spacing w:after="120"/>
      </w:pPr>
      <w:r>
        <w:rPr>
          <w:rFonts w:ascii="Calibri" w:hAnsi="Calibri"/>
          <w:b w:val="0"/>
          <w:i w:val="0"/>
          <w:sz w:val="22"/>
        </w:rPr>
        <w:t>The ML Suite provides a visual canvas for building and running machine learning pipelines on your locally stored data. All training runs on your own machine — no data is sent to the cloud during training.</w:t>
      </w:r>
    </w:p>
    <w:p>
      <w:pPr>
        <w:pStyle w:val="Heading2"/>
      </w:pPr>
      <w:r>
        <w:rPr>
          <w:rFonts w:ascii="Calibri" w:hAnsi="Calibri"/>
          <w:b/>
          <w:color w:val="0D9488"/>
          <w:sz w:val="30"/>
        </w:rPr>
        <w:t>6.1  ML Pipeline Canvas</w:t>
      </w:r>
    </w:p>
    <w:p>
      <w:pPr>
        <w:spacing w:after="120"/>
      </w:pPr>
      <w:r>
        <w:rPr>
          <w:rFonts w:ascii="Calibri" w:hAnsi="Calibri"/>
          <w:b w:val="0"/>
          <w:i w:val="0"/>
          <w:sz w:val="22"/>
        </w:rPr>
        <w:t>The ML Pipeline canvas works similarly to NeuralFlow: drag blocks from the palette, connect them with typed ports, configure parameters in the inspector. The ML Suite palette contains scikit-learn and PyTorch blocks organised by category.</w:t>
      </w:r>
    </w:p>
    <w:p>
      <w:pPr>
        <w:pStyle w:val="Heading2"/>
      </w:pPr>
      <w:r>
        <w:rPr>
          <w:rFonts w:ascii="Calibri" w:hAnsi="Calibri"/>
          <w:b/>
          <w:color w:val="0D9488"/>
          <w:sz w:val="30"/>
        </w:rPr>
        <w:t>6.2  Available Block Categories</w:t>
      </w:r>
    </w:p>
    <w:tbl>
      <w:tblPr>
        <w:tblStyle w:val="TableGrid"/>
        <w:tblW w:type="auto" w:w="0"/>
        <w:tblLook w:firstColumn="1" w:firstRow="1" w:lastColumn="0" w:lastRow="0" w:noHBand="0" w:noVBand="1" w:val="04A0"/>
      </w:tblPr>
      <w:tblGrid>
        <w:gridCol w:w="4536"/>
        <w:gridCol w:w="4536"/>
      </w:tblGrid>
      <w:tr>
        <w:tc>
          <w:tcPr>
            <w:tcW w:type="dxa" w:w="4536"/>
            <w:shd w:val="clear" w:color="auto" w:fill="0D9488"/>
          </w:tcPr>
          <w:p>
            <w:pPr>
              <w:jc w:val="center"/>
            </w:pPr>
            <w:r>
              <w:rPr>
                <w:rFonts w:ascii="Calibri" w:hAnsi="Calibri"/>
                <w:b/>
                <w:color w:val="FFFFFF"/>
                <w:sz w:val="20"/>
              </w:rPr>
              <w:t>Category</w:t>
            </w:r>
          </w:p>
        </w:tc>
        <w:tc>
          <w:tcPr>
            <w:tcW w:type="dxa" w:w="4536"/>
            <w:shd w:val="clear" w:color="auto" w:fill="0D9488"/>
          </w:tcPr>
          <w:p>
            <w:pPr>
              <w:jc w:val="center"/>
            </w:pPr>
            <w:r>
              <w:rPr>
                <w:rFonts w:ascii="Calibri" w:hAnsi="Calibri"/>
                <w:b/>
                <w:color w:val="FFFFFF"/>
                <w:sz w:val="20"/>
              </w:rPr>
              <w:t>Example Blocks</w:t>
            </w:r>
          </w:p>
        </w:tc>
      </w:tr>
      <w:tr>
        <w:tc>
          <w:tcPr>
            <w:tcW w:type="dxa" w:w="4536"/>
            <w:shd w:val="clear" w:color="auto" w:fill="F9FAFB"/>
          </w:tcPr>
          <w:p>
            <w:r>
              <w:rPr>
                <w:rFonts w:ascii="Calibri" w:hAnsi="Calibri"/>
                <w:sz w:val="20"/>
              </w:rPr>
              <w:t>Preprocessing</w:t>
            </w:r>
          </w:p>
        </w:tc>
        <w:tc>
          <w:tcPr>
            <w:tcW w:type="dxa" w:w="4536"/>
            <w:shd w:val="clear" w:color="auto" w:fill="F9FAFB"/>
          </w:tcPr>
          <w:p>
            <w:r>
              <w:rPr>
                <w:rFonts w:ascii="Calibri" w:hAnsi="Calibri"/>
                <w:sz w:val="20"/>
              </w:rPr>
              <w:t>StandardScaler, MinMaxScaler, PCA</w:t>
            </w:r>
          </w:p>
        </w:tc>
      </w:tr>
      <w:tr>
        <w:tc>
          <w:tcPr>
            <w:tcW w:type="dxa" w:w="4536"/>
            <w:shd w:val="clear" w:color="auto" w:fill="FFFFFF"/>
          </w:tcPr>
          <w:p>
            <w:r>
              <w:rPr>
                <w:rFonts w:ascii="Calibri" w:hAnsi="Calibri"/>
                <w:sz w:val="20"/>
              </w:rPr>
              <w:t>Feature Extraction</w:t>
            </w:r>
          </w:p>
        </w:tc>
        <w:tc>
          <w:tcPr>
            <w:tcW w:type="dxa" w:w="4536"/>
            <w:shd w:val="clear" w:color="auto" w:fill="FFFFFF"/>
          </w:tcPr>
          <w:p>
            <w:r>
              <w:rPr>
                <w:rFonts w:ascii="Calibri" w:hAnsi="Calibri"/>
                <w:sz w:val="20"/>
              </w:rPr>
              <w:t>Channel Selection, Feature Selection, Signal Projection</w:t>
            </w:r>
          </w:p>
        </w:tc>
      </w:tr>
      <w:tr>
        <w:tc>
          <w:tcPr>
            <w:tcW w:type="dxa" w:w="4536"/>
            <w:shd w:val="clear" w:color="auto" w:fill="F9FAFB"/>
          </w:tcPr>
          <w:p>
            <w:r>
              <w:rPr>
                <w:rFonts w:ascii="Calibri" w:hAnsi="Calibri"/>
                <w:sz w:val="20"/>
              </w:rPr>
              <w:t>Dimensionality Reduction</w:t>
            </w:r>
          </w:p>
        </w:tc>
        <w:tc>
          <w:tcPr>
            <w:tcW w:type="dxa" w:w="4536"/>
            <w:shd w:val="clear" w:color="auto" w:fill="F9FAFB"/>
          </w:tcPr>
          <w:p>
            <w:r>
              <w:rPr>
                <w:rFonts w:ascii="Calibri" w:hAnsi="Calibri"/>
                <w:sz w:val="20"/>
              </w:rPr>
              <w:t>PCA, NCA, t-SNE, UMAP</w:t>
            </w:r>
          </w:p>
        </w:tc>
      </w:tr>
      <w:tr>
        <w:tc>
          <w:tcPr>
            <w:tcW w:type="dxa" w:w="4536"/>
            <w:shd w:val="clear" w:color="auto" w:fill="FFFFFF"/>
          </w:tcPr>
          <w:p>
            <w:r>
              <w:rPr>
                <w:rFonts w:ascii="Calibri" w:hAnsi="Calibri"/>
                <w:sz w:val="20"/>
              </w:rPr>
              <w:t>Classification</w:t>
            </w:r>
          </w:p>
        </w:tc>
        <w:tc>
          <w:tcPr>
            <w:tcW w:type="dxa" w:w="4536"/>
            <w:shd w:val="clear" w:color="auto" w:fill="FFFFFF"/>
          </w:tcPr>
          <w:p>
            <w:r>
              <w:rPr>
                <w:rFonts w:ascii="Calibri" w:hAnsi="Calibri"/>
                <w:sz w:val="20"/>
              </w:rPr>
              <w:t>LDA, SVM, Random Forest, Gradient Boosting, EEGNet (PyTorch)</w:t>
            </w:r>
          </w:p>
        </w:tc>
      </w:tr>
      <w:tr>
        <w:tc>
          <w:tcPr>
            <w:tcW w:type="dxa" w:w="4536"/>
            <w:shd w:val="clear" w:color="auto" w:fill="F9FAFB"/>
          </w:tcPr>
          <w:p>
            <w:r>
              <w:rPr>
                <w:rFonts w:ascii="Calibri" w:hAnsi="Calibri"/>
                <w:sz w:val="20"/>
              </w:rPr>
              <w:t>Cross Validation</w:t>
            </w:r>
          </w:p>
        </w:tc>
        <w:tc>
          <w:tcPr>
            <w:tcW w:type="dxa" w:w="4536"/>
            <w:shd w:val="clear" w:color="auto" w:fill="F9FAFB"/>
          </w:tcPr>
          <w:p>
            <w:r>
              <w:rPr>
                <w:rFonts w:ascii="Calibri" w:hAnsi="Calibri"/>
                <w:sz w:val="20"/>
              </w:rPr>
              <w:t>KFold, StratifiedKFold, LeaveOneOut</w:t>
            </w:r>
          </w:p>
        </w:tc>
      </w:tr>
      <w:tr>
        <w:tc>
          <w:tcPr>
            <w:tcW w:type="dxa" w:w="4536"/>
            <w:shd w:val="clear" w:color="auto" w:fill="FFFFFF"/>
          </w:tcPr>
          <w:p>
            <w:r>
              <w:rPr>
                <w:rFonts w:ascii="Calibri" w:hAnsi="Calibri"/>
                <w:sz w:val="20"/>
              </w:rPr>
              <w:t>Pipeline Blocks</w:t>
            </w:r>
          </w:p>
        </w:tc>
        <w:tc>
          <w:tcPr>
            <w:tcW w:type="dxa" w:w="4536"/>
            <w:shd w:val="clear" w:color="auto" w:fill="FFFFFF"/>
          </w:tcPr>
          <w:p>
            <w:r>
              <w:rPr>
                <w:rFonts w:ascii="Calibri" w:hAnsi="Calibri"/>
                <w:sz w:val="20"/>
              </w:rPr>
              <w:t>Input Block, Output Block, Loop Block, Custom Code</w:t>
            </w:r>
          </w:p>
        </w:tc>
      </w:tr>
      <w:tr>
        <w:tc>
          <w:tcPr>
            <w:tcW w:type="dxa" w:w="4536"/>
            <w:shd w:val="clear" w:color="auto" w:fill="F9FAFB"/>
          </w:tcPr>
          <w:p>
            <w:r>
              <w:rPr>
                <w:rFonts w:ascii="Calibri" w:hAnsi="Calibri"/>
                <w:sz w:val="20"/>
              </w:rPr>
              <w:t>Analysis</w:t>
            </w:r>
          </w:p>
        </w:tc>
        <w:tc>
          <w:tcPr>
            <w:tcW w:type="dxa" w:w="4536"/>
            <w:shd w:val="clear" w:color="auto" w:fill="F9FAFB"/>
          </w:tcPr>
          <w:p>
            <w:r>
              <w:rPr>
                <w:rFonts w:ascii="Calibri" w:hAnsi="Calibri"/>
                <w:sz w:val="20"/>
              </w:rPr>
              <w:t>Channel Selection, Custom Labels, Signal Projection</w:t>
            </w:r>
          </w:p>
        </w:tc>
      </w:tr>
    </w:tbl>
    <w:p/>
    <w:p>
      <w:pPr>
        <w:pStyle w:val="Heading2"/>
      </w:pPr>
      <w:r>
        <w:rPr>
          <w:rFonts w:ascii="Calibri" w:hAnsi="Calibri"/>
          <w:b/>
          <w:color w:val="0D9488"/>
          <w:sz w:val="30"/>
        </w:rPr>
        <w:t>6.3  Workflow Designer</w:t>
      </w:r>
    </w:p>
    <w:p>
      <w:pPr>
        <w:spacing w:after="120"/>
      </w:pPr>
      <w:r>
        <w:rPr>
          <w:rFonts w:ascii="Calibri" w:hAnsi="Calibri"/>
          <w:b w:val="0"/>
          <w:i w:val="0"/>
          <w:sz w:val="22"/>
        </w:rPr>
        <w:t>The Workflow Designer tab (next to the pipeline canvas) maps your pipeline to subjects and sessions. Configure which subjects, which sessions, and which data source (clean data, channel-selected data, features, or dimensionality-reduced data) the pipeline should use for each training run.</w:t>
      </w:r>
    </w:p>
    <w:p>
      <w:pPr>
        <w:pStyle w:val="Heading2"/>
      </w:pPr>
      <w:r>
        <w:rPr>
          <w:rFonts w:ascii="Calibri" w:hAnsi="Calibri"/>
          <w:b/>
          <w:color w:val="0D9488"/>
          <w:sz w:val="30"/>
        </w:rPr>
        <w:t>6.4  Compiling and Running a Pipeline</w:t>
      </w:r>
    </w:p>
    <w:p>
      <w:pPr>
        <w:pStyle w:val="ListBullet"/>
        <w:spacing w:after="60"/>
        <w:ind w:left="432"/>
      </w:pPr>
      <w:r>
        <w:rPr>
          <w:rFonts w:ascii="Calibri" w:hAnsi="Calibri"/>
          <w:b w:val="0"/>
          <w:i w:val="0"/>
          <w:sz w:val="21"/>
        </w:rPr>
        <w:t>Click Compile in the toolbar to validate all block connections and parameter types.</w:t>
      </w:r>
    </w:p>
    <w:p>
      <w:pPr>
        <w:pStyle w:val="ListBullet"/>
        <w:spacing w:after="60"/>
        <w:ind w:left="432"/>
      </w:pPr>
      <w:r>
        <w:rPr>
          <w:rFonts w:ascii="Calibri" w:hAnsi="Calibri"/>
          <w:b w:val="0"/>
          <w:i w:val="0"/>
          <w:sz w:val="21"/>
        </w:rPr>
        <w:t>A successful compile auto-registers the pipeline to the BCILattice pipeline engine.</w:t>
      </w:r>
    </w:p>
    <w:p>
      <w:pPr>
        <w:pStyle w:val="ListBullet"/>
        <w:spacing w:after="60"/>
        <w:ind w:left="432"/>
      </w:pPr>
      <w:r>
        <w:rPr>
          <w:rFonts w:ascii="Calibri" w:hAnsi="Calibri"/>
          <w:b w:val="0"/>
          <w:i w:val="0"/>
          <w:sz w:val="21"/>
        </w:rPr>
        <w:t>Click Train to start the batch training run.</w:t>
      </w:r>
    </w:p>
    <w:p>
      <w:pPr>
        <w:pStyle w:val="ListBullet"/>
        <w:spacing w:after="60"/>
        <w:ind w:left="432"/>
      </w:pPr>
      <w:r>
        <w:rPr>
          <w:rFonts w:ascii="Calibri" w:hAnsi="Calibri"/>
          <w:b w:val="0"/>
          <w:i w:val="0"/>
          <w:sz w:val="21"/>
        </w:rPr>
        <w:t>The Batch Training Dashboard opens with dual live progress bars: overall progress and per-subject progress.</w:t>
      </w:r>
    </w:p>
    <w:p>
      <w:pPr>
        <w:pStyle w:val="ListBullet"/>
        <w:spacing w:after="60"/>
        <w:ind w:left="432"/>
      </w:pPr>
      <w:r>
        <w:rPr>
          <w:rFonts w:ascii="Calibri" w:hAnsi="Calibri"/>
          <w:b w:val="0"/>
          <w:i w:val="0"/>
          <w:sz w:val="21"/>
        </w:rPr>
        <w:t>Per-subject metric tiles (Accuracy, F1 score, AUC) appear as each subject completes.</w:t>
      </w:r>
    </w:p>
    <w:p>
      <w:pPr>
        <w:pStyle w:val="Heading2"/>
      </w:pPr>
      <w:r>
        <w:rPr>
          <w:rFonts w:ascii="Calibri" w:hAnsi="Calibri"/>
          <w:b/>
          <w:color w:val="0D9488"/>
          <w:sz w:val="30"/>
        </w:rPr>
        <w:t>6.5  Parallel Workflow Tabs (Researcher+ plan)</w:t>
      </w:r>
    </w:p>
    <w:p>
      <w:pPr>
        <w:spacing w:after="120"/>
      </w:pPr>
      <w:r>
        <w:rPr>
          <w:rFonts w:ascii="Calibri" w:hAnsi="Calibri"/>
          <w:b w:val="0"/>
          <w:i w:val="0"/>
          <w:sz w:val="22"/>
        </w:rPr>
        <w:t>Open multiple pipeline tabs side by side to compare different architectures or hyperparameter configurations on the same dataset. Each tab has its own pipeline canvas, workflow designer, and training run.</w:t>
      </w:r>
    </w:p>
    <w:p>
      <w:pPr>
        <w:pStyle w:val="Heading2"/>
      </w:pPr>
      <w:r>
        <w:rPr>
          <w:rFonts w:ascii="Calibri" w:hAnsi="Calibri"/>
          <w:b/>
          <w:color w:val="0D9488"/>
          <w:sz w:val="30"/>
        </w:rPr>
        <w:t>6.6  Custom Code Block</w:t>
      </w:r>
    </w:p>
    <w:p>
      <w:pPr>
        <w:spacing w:after="120"/>
      </w:pPr>
      <w:r>
        <w:rPr>
          <w:rFonts w:ascii="Calibri" w:hAnsi="Calibri"/>
          <w:b w:val="0"/>
          <w:i w:val="0"/>
          <w:sz w:val="22"/>
        </w:rPr>
        <w:t>Drag a Custom Code block onto the canvas to inject arbitrary Python processing at any point in the pipeline. The block receives the data output from the previous block and must return the processed data:</w:t>
      </w:r>
    </w:p>
    <w:p>
      <w:pPr>
        <w:ind w:left="576"/>
      </w:pPr>
      <w:r>
        <w:rPr>
          <w:rFonts w:ascii="Courier New" w:hAnsi="Courier New"/>
          <w:b w:val="0"/>
          <w:i w:val="0"/>
          <w:color w:val="1E1E2E"/>
          <w:sz w:val="19"/>
        </w:rPr>
        <w:t>def custom_process(data):</w:t>
        <w:br/>
        <w:t xml:space="preserve">    # data is a NumPy array</w:t>
        <w:br/>
        <w:t xml:space="preserve">    return data</w:t>
      </w:r>
    </w:p>
    <w:p>
      <w:r>
        <w:br w:type="page"/>
      </w:r>
    </w:p>
    <w:p>
      <w:pPr>
        <w:pStyle w:val="Heading1"/>
      </w:pPr>
      <w:r>
        <w:rPr>
          <w:rFonts w:ascii="Calibri" w:hAnsi="Calibri"/>
          <w:b/>
          <w:color w:val="C084FC"/>
          <w:sz w:val="40"/>
        </w:rPr>
        <w:t>7. Analysis Suite</w:t>
      </w:r>
    </w:p>
    <w:p>
      <w:pPr>
        <w:spacing w:after="120"/>
      </w:pPr>
      <w:r>
        <w:rPr>
          <w:rFonts w:ascii="Calibri" w:hAnsi="Calibri"/>
          <w:b w:val="0"/>
          <w:i w:val="0"/>
          <w:sz w:val="22"/>
        </w:rPr>
        <w:t>The Analysis Suite is a four-step analytical dashboard for understanding your signal data before committing to a training run. Run it after preprocessing to inform your channel selection and feature engineering decisions.</w:t>
      </w:r>
    </w:p>
    <w:p>
      <w:pPr>
        <w:pStyle w:val="Heading2"/>
      </w:pPr>
      <w:r>
        <w:rPr>
          <w:rFonts w:ascii="Calibri" w:hAnsi="Calibri"/>
          <w:b/>
          <w:color w:val="0D9488"/>
          <w:sz w:val="30"/>
        </w:rPr>
        <w:t>7.1  Step 1: Channel Selection</w:t>
      </w:r>
    </w:p>
    <w:p>
      <w:pPr>
        <w:spacing w:after="120"/>
      </w:pPr>
      <w:r>
        <w:rPr>
          <w:rFonts w:ascii="Calibri" w:hAnsi="Calibri"/>
          <w:b w:val="0"/>
          <w:i w:val="0"/>
          <w:sz w:val="22"/>
        </w:rPr>
        <w:t>Channel Selection scores every channel in your dataset for its discriminative power between classes and retains only the top-N percent. This reduces dimensionality and often significantly improves classifier accuracy.</w:t>
      </w:r>
    </w:p>
    <w:p>
      <w:pPr>
        <w:pStyle w:val="ListBullet"/>
        <w:spacing w:after="60"/>
        <w:ind w:left="432"/>
      </w:pPr>
      <w:r>
        <w:rPr>
          <w:rFonts w:ascii="Calibri" w:hAnsi="Calibri"/>
          <w:b w:val="0"/>
          <w:i w:val="0"/>
          <w:sz w:val="21"/>
        </w:rPr>
        <w:t>Method: choose from available statistical methods (e.g. t-Value, ANOVA).</w:t>
      </w:r>
    </w:p>
    <w:p>
      <w:pPr>
        <w:pStyle w:val="ListBullet"/>
        <w:spacing w:after="60"/>
        <w:ind w:left="432"/>
      </w:pPr>
      <w:r>
        <w:rPr>
          <w:rFonts w:ascii="Calibri" w:hAnsi="Calibri"/>
          <w:b w:val="0"/>
          <w:i w:val="0"/>
          <w:sz w:val="21"/>
        </w:rPr>
        <w:t>Percentile: the top percentage of channels to keep (e.g. 20 means keep the top 20%).</w:t>
      </w:r>
    </w:p>
    <w:p>
      <w:pPr>
        <w:pStyle w:val="ListBullet"/>
        <w:spacing w:after="60"/>
        <w:ind w:left="432"/>
      </w:pPr>
      <w:r>
        <w:rPr>
          <w:rFonts w:ascii="Calibri" w:hAnsi="Calibri"/>
          <w:b w:val="0"/>
          <w:i w:val="0"/>
          <w:sz w:val="21"/>
        </w:rPr>
        <w:t>Ignore Classes: exclude specific class labels from the scoring computation (useful for a rest class).</w:t>
      </w:r>
    </w:p>
    <w:p>
      <w:pPr>
        <w:pStyle w:val="ListBullet"/>
        <w:spacing w:after="60"/>
        <w:ind w:left="432"/>
      </w:pPr>
      <w:r>
        <w:rPr>
          <w:rFonts w:ascii="Calibri" w:hAnsi="Calibri"/>
          <w:b w:val="0"/>
          <w:i w:val="0"/>
          <w:sz w:val="21"/>
        </w:rPr>
        <w:t>Output: a ranked table of channels with their scores, plus a channel-selected CSV file saved alongside the original.</w:t>
      </w:r>
    </w:p>
    <w:p>
      <w:pPr>
        <w:pStyle w:val="Heading2"/>
      </w:pPr>
      <w:r>
        <w:rPr>
          <w:rFonts w:ascii="Calibri" w:hAnsi="Calibri"/>
          <w:b/>
          <w:color w:val="0D9488"/>
          <w:sz w:val="30"/>
        </w:rPr>
        <w:t>7.2  Step 2: Dimensionality Reduction</w:t>
      </w:r>
    </w:p>
    <w:p>
      <w:pPr>
        <w:spacing w:after="120"/>
      </w:pPr>
      <w:r>
        <w:rPr>
          <w:rFonts w:ascii="Calibri" w:hAnsi="Calibri"/>
          <w:b w:val="0"/>
          <w:i w:val="0"/>
          <w:sz w:val="22"/>
        </w:rPr>
        <w:t>Apply a dimensionality reduction method to the channel data or selected channels.</w:t>
      </w:r>
    </w:p>
    <w:p>
      <w:pPr>
        <w:pStyle w:val="ListBullet"/>
        <w:spacing w:after="60"/>
        <w:ind w:left="432"/>
      </w:pPr>
      <w:r>
        <w:rPr>
          <w:rFonts w:ascii="Calibri" w:hAnsi="Calibri"/>
          <w:b w:val="0"/>
          <w:i w:val="0"/>
          <w:sz w:val="21"/>
        </w:rPr>
        <w:t>Available methods: PCA, NCA (Neighbourhood Components Analysis), t-SNE, UMAP (if installed).</w:t>
      </w:r>
    </w:p>
    <w:p>
      <w:pPr>
        <w:pStyle w:val="ListBullet"/>
        <w:spacing w:after="60"/>
        <w:ind w:left="432"/>
      </w:pPr>
      <w:r>
        <w:rPr>
          <w:rFonts w:ascii="Calibri" w:hAnsi="Calibri"/>
          <w:b w:val="0"/>
          <w:i w:val="0"/>
          <w:sz w:val="21"/>
        </w:rPr>
        <w:t>Set the number of target components (e.g. 2 for 2D visualisation).</w:t>
      </w:r>
    </w:p>
    <w:p>
      <w:pPr>
        <w:pStyle w:val="ListBullet"/>
        <w:spacing w:after="60"/>
        <w:ind w:left="432"/>
      </w:pPr>
      <w:r>
        <w:rPr>
          <w:rFonts w:ascii="Calibri" w:hAnsi="Calibri"/>
          <w:b w:val="0"/>
          <w:i w:val="0"/>
          <w:sz w:val="21"/>
        </w:rPr>
        <w:t>Select channel scope: Full Data or Selected Channels (from Step 1).</w:t>
      </w:r>
    </w:p>
    <w:p>
      <w:pPr>
        <w:pStyle w:val="Heading2"/>
      </w:pPr>
      <w:r>
        <w:rPr>
          <w:rFonts w:ascii="Calibri" w:hAnsi="Calibri"/>
          <w:b/>
          <w:color w:val="0D9488"/>
          <w:sz w:val="30"/>
        </w:rPr>
        <w:t>7.3  Step 3: Feature Extraction</w:t>
      </w:r>
    </w:p>
    <w:p>
      <w:pPr>
        <w:spacing w:after="120"/>
      </w:pPr>
      <w:r>
        <w:rPr>
          <w:rFonts w:ascii="Calibri" w:hAnsi="Calibri"/>
          <w:b w:val="0"/>
          <w:i w:val="0"/>
          <w:sz w:val="22"/>
        </w:rPr>
        <w:t>Extract statistical and spectral features from channels or reduced dimensions. The server computes each selected feature per-channel per-sample.</w:t>
      </w:r>
    </w:p>
    <w:tbl>
      <w:tblPr>
        <w:tblStyle w:val="TableGrid"/>
        <w:tblW w:type="auto" w:w="0"/>
        <w:tblLook w:firstColumn="1" w:firstRow="1" w:lastColumn="0" w:lastRow="0" w:noHBand="0" w:noVBand="1" w:val="04A0"/>
      </w:tblPr>
      <w:tblGrid>
        <w:gridCol w:w="4536"/>
        <w:gridCol w:w="4536"/>
      </w:tblGrid>
      <w:tr>
        <w:tc>
          <w:tcPr>
            <w:tcW w:type="dxa" w:w="4536"/>
            <w:shd w:val="clear" w:color="auto" w:fill="0D9488"/>
          </w:tcPr>
          <w:p>
            <w:pPr>
              <w:jc w:val="center"/>
            </w:pPr>
            <w:r>
              <w:rPr>
                <w:rFonts w:ascii="Calibri" w:hAnsi="Calibri"/>
                <w:b/>
                <w:color w:val="FFFFFF"/>
                <w:sz w:val="20"/>
              </w:rPr>
              <w:t>Feature</w:t>
            </w:r>
          </w:p>
        </w:tc>
        <w:tc>
          <w:tcPr>
            <w:tcW w:type="dxa" w:w="4536"/>
            <w:shd w:val="clear" w:color="auto" w:fill="0D9488"/>
          </w:tcPr>
          <w:p>
            <w:pPr>
              <w:jc w:val="center"/>
            </w:pPr>
            <w:r>
              <w:rPr>
                <w:rFonts w:ascii="Calibri" w:hAnsi="Calibri"/>
                <w:b/>
                <w:color w:val="FFFFFF"/>
                <w:sz w:val="20"/>
              </w:rPr>
              <w:t>Description</w:t>
            </w:r>
          </w:p>
        </w:tc>
      </w:tr>
      <w:tr>
        <w:tc>
          <w:tcPr>
            <w:tcW w:type="dxa" w:w="4536"/>
            <w:shd w:val="clear" w:color="auto" w:fill="F9FAFB"/>
          </w:tcPr>
          <w:p>
            <w:r>
              <w:rPr>
                <w:rFonts w:ascii="Calibri" w:hAnsi="Calibri"/>
                <w:sz w:val="20"/>
              </w:rPr>
              <w:t>Mean</w:t>
            </w:r>
          </w:p>
        </w:tc>
        <w:tc>
          <w:tcPr>
            <w:tcW w:type="dxa" w:w="4536"/>
            <w:shd w:val="clear" w:color="auto" w:fill="F9FAFB"/>
          </w:tcPr>
          <w:p>
            <w:r>
              <w:rPr>
                <w:rFonts w:ascii="Calibri" w:hAnsi="Calibri"/>
                <w:sz w:val="20"/>
              </w:rPr>
              <w:t>Average amplitude per channel</w:t>
            </w:r>
          </w:p>
        </w:tc>
      </w:tr>
      <w:tr>
        <w:tc>
          <w:tcPr>
            <w:tcW w:type="dxa" w:w="4536"/>
            <w:shd w:val="clear" w:color="auto" w:fill="FFFFFF"/>
          </w:tcPr>
          <w:p>
            <w:r>
              <w:rPr>
                <w:rFonts w:ascii="Calibri" w:hAnsi="Calibri"/>
                <w:sz w:val="20"/>
              </w:rPr>
              <w:t>Variance</w:t>
            </w:r>
          </w:p>
        </w:tc>
        <w:tc>
          <w:tcPr>
            <w:tcW w:type="dxa" w:w="4536"/>
            <w:shd w:val="clear" w:color="auto" w:fill="FFFFFF"/>
          </w:tcPr>
          <w:p>
            <w:r>
              <w:rPr>
                <w:rFonts w:ascii="Calibri" w:hAnsi="Calibri"/>
                <w:sz w:val="20"/>
              </w:rPr>
              <w:t>Signal variance per channel</w:t>
            </w:r>
          </w:p>
        </w:tc>
      </w:tr>
      <w:tr>
        <w:tc>
          <w:tcPr>
            <w:tcW w:type="dxa" w:w="4536"/>
            <w:shd w:val="clear" w:color="auto" w:fill="F9FAFB"/>
          </w:tcPr>
          <w:p>
            <w:r>
              <w:rPr>
                <w:rFonts w:ascii="Calibri" w:hAnsi="Calibri"/>
                <w:sz w:val="20"/>
              </w:rPr>
              <w:t>Kurtosis</w:t>
            </w:r>
          </w:p>
        </w:tc>
        <w:tc>
          <w:tcPr>
            <w:tcW w:type="dxa" w:w="4536"/>
            <w:shd w:val="clear" w:color="auto" w:fill="F9FAFB"/>
          </w:tcPr>
          <w:p>
            <w:r>
              <w:rPr>
                <w:rFonts w:ascii="Calibri" w:hAnsi="Calibri"/>
                <w:sz w:val="20"/>
              </w:rPr>
              <w:t>Tail weight of the distribution (Fisher definition, unbiased)</w:t>
            </w:r>
          </w:p>
        </w:tc>
      </w:tr>
      <w:tr>
        <w:tc>
          <w:tcPr>
            <w:tcW w:type="dxa" w:w="4536"/>
            <w:shd w:val="clear" w:color="auto" w:fill="FFFFFF"/>
          </w:tcPr>
          <w:p>
            <w:r>
              <w:rPr>
                <w:rFonts w:ascii="Calibri" w:hAnsi="Calibri"/>
                <w:sz w:val="20"/>
              </w:rPr>
              <w:t>Skewness</w:t>
            </w:r>
          </w:p>
        </w:tc>
        <w:tc>
          <w:tcPr>
            <w:tcW w:type="dxa" w:w="4536"/>
            <w:shd w:val="clear" w:color="auto" w:fill="FFFFFF"/>
          </w:tcPr>
          <w:p>
            <w:r>
              <w:rPr>
                <w:rFonts w:ascii="Calibri" w:hAnsi="Calibri"/>
                <w:sz w:val="20"/>
              </w:rPr>
              <w:t>Asymmetry of the distribution</w:t>
            </w:r>
          </w:p>
        </w:tc>
      </w:tr>
      <w:tr>
        <w:tc>
          <w:tcPr>
            <w:tcW w:type="dxa" w:w="4536"/>
            <w:shd w:val="clear" w:color="auto" w:fill="F9FAFB"/>
          </w:tcPr>
          <w:p>
            <w:r>
              <w:rPr>
                <w:rFonts w:ascii="Calibri" w:hAnsi="Calibri"/>
                <w:sz w:val="20"/>
              </w:rPr>
              <w:t>Maximum / Minimum</w:t>
            </w:r>
          </w:p>
        </w:tc>
        <w:tc>
          <w:tcPr>
            <w:tcW w:type="dxa" w:w="4536"/>
            <w:shd w:val="clear" w:color="auto" w:fill="F9FAFB"/>
          </w:tcPr>
          <w:p>
            <w:r>
              <w:rPr>
                <w:rFonts w:ascii="Calibri" w:hAnsi="Calibri"/>
                <w:sz w:val="20"/>
              </w:rPr>
              <w:t>Peak and trough values</w:t>
            </w:r>
          </w:p>
        </w:tc>
      </w:tr>
      <w:tr>
        <w:tc>
          <w:tcPr>
            <w:tcW w:type="dxa" w:w="4536"/>
            <w:shd w:val="clear" w:color="auto" w:fill="FFFFFF"/>
          </w:tcPr>
          <w:p>
            <w:r>
              <w:rPr>
                <w:rFonts w:ascii="Calibri" w:hAnsi="Calibri"/>
                <w:sz w:val="20"/>
              </w:rPr>
              <w:t>Range</w:t>
            </w:r>
          </w:p>
        </w:tc>
        <w:tc>
          <w:tcPr>
            <w:tcW w:type="dxa" w:w="4536"/>
            <w:shd w:val="clear" w:color="auto" w:fill="FFFFFF"/>
          </w:tcPr>
          <w:p>
            <w:r>
              <w:rPr>
                <w:rFonts w:ascii="Calibri" w:hAnsi="Calibri"/>
                <w:sz w:val="20"/>
              </w:rPr>
              <w:t>Max minus Min</w:t>
            </w:r>
          </w:p>
        </w:tc>
      </w:tr>
      <w:tr>
        <w:tc>
          <w:tcPr>
            <w:tcW w:type="dxa" w:w="4536"/>
            <w:shd w:val="clear" w:color="auto" w:fill="F9FAFB"/>
          </w:tcPr>
          <w:p>
            <w:r>
              <w:rPr>
                <w:rFonts w:ascii="Calibri" w:hAnsi="Calibri"/>
                <w:sz w:val="20"/>
              </w:rPr>
              <w:t>Standard Deviation</w:t>
            </w:r>
          </w:p>
        </w:tc>
        <w:tc>
          <w:tcPr>
            <w:tcW w:type="dxa" w:w="4536"/>
            <w:shd w:val="clear" w:color="auto" w:fill="F9FAFB"/>
          </w:tcPr>
          <w:p>
            <w:r>
              <w:rPr>
                <w:rFonts w:ascii="Calibri" w:hAnsi="Calibri"/>
                <w:sz w:val="20"/>
              </w:rPr>
              <w:t>Square root of variance</w:t>
            </w:r>
          </w:p>
        </w:tc>
      </w:tr>
      <w:tr>
        <w:tc>
          <w:tcPr>
            <w:tcW w:type="dxa" w:w="4536"/>
            <w:shd w:val="clear" w:color="auto" w:fill="FFFFFF"/>
          </w:tcPr>
          <w:p>
            <w:r>
              <w:rPr>
                <w:rFonts w:ascii="Calibri" w:hAnsi="Calibri"/>
                <w:sz w:val="20"/>
              </w:rPr>
              <w:t>Entropy</w:t>
            </w:r>
          </w:p>
        </w:tc>
        <w:tc>
          <w:tcPr>
            <w:tcW w:type="dxa" w:w="4536"/>
            <w:shd w:val="clear" w:color="auto" w:fill="FFFFFF"/>
          </w:tcPr>
          <w:p>
            <w:r>
              <w:rPr>
                <w:rFonts w:ascii="Calibri" w:hAnsi="Calibri"/>
                <w:sz w:val="20"/>
              </w:rPr>
              <w:t>Shannon entropy of the absolute amplitude distribution</w:t>
            </w:r>
          </w:p>
        </w:tc>
      </w:tr>
      <w:tr>
        <w:tc>
          <w:tcPr>
            <w:tcW w:type="dxa" w:w="4536"/>
            <w:shd w:val="clear" w:color="auto" w:fill="F9FAFB"/>
          </w:tcPr>
          <w:p>
            <w:r>
              <w:rPr>
                <w:rFonts w:ascii="Calibri" w:hAnsi="Calibri"/>
                <w:sz w:val="20"/>
              </w:rPr>
              <w:t>Median</w:t>
            </w:r>
          </w:p>
        </w:tc>
        <w:tc>
          <w:tcPr>
            <w:tcW w:type="dxa" w:w="4536"/>
            <w:shd w:val="clear" w:color="auto" w:fill="F9FAFB"/>
          </w:tcPr>
          <w:p>
            <w:r>
              <w:rPr>
                <w:rFonts w:ascii="Calibri" w:hAnsi="Calibri"/>
                <w:sz w:val="20"/>
              </w:rPr>
              <w:t>50th-percentile value</w:t>
            </w:r>
          </w:p>
        </w:tc>
      </w:tr>
      <w:tr>
        <w:tc>
          <w:tcPr>
            <w:tcW w:type="dxa" w:w="4536"/>
            <w:shd w:val="clear" w:color="auto" w:fill="FFFFFF"/>
          </w:tcPr>
          <w:p>
            <w:r>
              <w:rPr>
                <w:rFonts w:ascii="Calibri" w:hAnsi="Calibri"/>
                <w:sz w:val="20"/>
              </w:rPr>
              <w:t>Zero Crossing Rate</w:t>
            </w:r>
          </w:p>
        </w:tc>
        <w:tc>
          <w:tcPr>
            <w:tcW w:type="dxa" w:w="4536"/>
            <w:shd w:val="clear" w:color="auto" w:fill="FFFFFF"/>
          </w:tcPr>
          <w:p>
            <w:r>
              <w:rPr>
                <w:rFonts w:ascii="Calibri" w:hAnsi="Calibri"/>
                <w:sz w:val="20"/>
              </w:rPr>
              <w:t>Number of sign changes in the signal</w:t>
            </w:r>
          </w:p>
        </w:tc>
      </w:tr>
      <w:tr>
        <w:tc>
          <w:tcPr>
            <w:tcW w:type="dxa" w:w="4536"/>
            <w:shd w:val="clear" w:color="auto" w:fill="F9FAFB"/>
          </w:tcPr>
          <w:p>
            <w:r>
              <w:rPr>
                <w:rFonts w:ascii="Calibri" w:hAnsi="Calibri"/>
                <w:sz w:val="20"/>
              </w:rPr>
              <w:t>Signal Energy</w:t>
            </w:r>
          </w:p>
        </w:tc>
        <w:tc>
          <w:tcPr>
            <w:tcW w:type="dxa" w:w="4536"/>
            <w:shd w:val="clear" w:color="auto" w:fill="F9FAFB"/>
          </w:tcPr>
          <w:p>
            <w:r>
              <w:rPr>
                <w:rFonts w:ascii="Calibri" w:hAnsi="Calibri"/>
                <w:sz w:val="20"/>
              </w:rPr>
              <w:t>Sum of squared samples</w:t>
            </w:r>
          </w:p>
        </w:tc>
      </w:tr>
      <w:tr>
        <w:tc>
          <w:tcPr>
            <w:tcW w:type="dxa" w:w="4536"/>
            <w:shd w:val="clear" w:color="auto" w:fill="FFFFFF"/>
          </w:tcPr>
          <w:p>
            <w:r>
              <w:rPr>
                <w:rFonts w:ascii="Calibri" w:hAnsi="Calibri"/>
                <w:sz w:val="20"/>
              </w:rPr>
              <w:t>Root Mean Square</w:t>
            </w:r>
          </w:p>
        </w:tc>
        <w:tc>
          <w:tcPr>
            <w:tcW w:type="dxa" w:w="4536"/>
            <w:shd w:val="clear" w:color="auto" w:fill="FFFFFF"/>
          </w:tcPr>
          <w:p>
            <w:r>
              <w:rPr>
                <w:rFonts w:ascii="Calibri" w:hAnsi="Calibri"/>
                <w:sz w:val="20"/>
              </w:rPr>
              <w:t>Square root of mean squared amplitude</w:t>
            </w:r>
          </w:p>
        </w:tc>
      </w:tr>
      <w:tr>
        <w:tc>
          <w:tcPr>
            <w:tcW w:type="dxa" w:w="4536"/>
            <w:shd w:val="clear" w:color="auto" w:fill="F9FAFB"/>
          </w:tcPr>
          <w:p>
            <w:r>
              <w:rPr>
                <w:rFonts w:ascii="Calibri" w:hAnsi="Calibri"/>
                <w:sz w:val="20"/>
              </w:rPr>
              <w:t>Hjorth Activity</w:t>
            </w:r>
          </w:p>
        </w:tc>
        <w:tc>
          <w:tcPr>
            <w:tcW w:type="dxa" w:w="4536"/>
            <w:shd w:val="clear" w:color="auto" w:fill="F9FAFB"/>
          </w:tcPr>
          <w:p>
            <w:r>
              <w:rPr>
                <w:rFonts w:ascii="Calibri" w:hAnsi="Calibri"/>
                <w:sz w:val="20"/>
              </w:rPr>
              <w:t>Signal variance (first Hjorth parameter)</w:t>
            </w:r>
          </w:p>
        </w:tc>
      </w:tr>
      <w:tr>
        <w:tc>
          <w:tcPr>
            <w:tcW w:type="dxa" w:w="4536"/>
            <w:shd w:val="clear" w:color="auto" w:fill="FFFFFF"/>
          </w:tcPr>
          <w:p>
            <w:r>
              <w:rPr>
                <w:rFonts w:ascii="Calibri" w:hAnsi="Calibri"/>
                <w:sz w:val="20"/>
              </w:rPr>
              <w:t>Hjorth Mobility</w:t>
            </w:r>
          </w:p>
        </w:tc>
        <w:tc>
          <w:tcPr>
            <w:tcW w:type="dxa" w:w="4536"/>
            <w:shd w:val="clear" w:color="auto" w:fill="FFFFFF"/>
          </w:tcPr>
          <w:p>
            <w:r>
              <w:rPr>
                <w:rFonts w:ascii="Calibri" w:hAnsi="Calibri"/>
                <w:sz w:val="20"/>
              </w:rPr>
              <w:t>Mean frequency proxy (sqrt of var of first derivative / var of signal)</w:t>
            </w:r>
          </w:p>
        </w:tc>
      </w:tr>
      <w:tr>
        <w:tc>
          <w:tcPr>
            <w:tcW w:type="dxa" w:w="4536"/>
            <w:shd w:val="clear" w:color="auto" w:fill="F9FAFB"/>
          </w:tcPr>
          <w:p>
            <w:r>
              <w:rPr>
                <w:rFonts w:ascii="Calibri" w:hAnsi="Calibri"/>
                <w:sz w:val="20"/>
              </w:rPr>
              <w:t>Hjorth Complexity</w:t>
            </w:r>
          </w:p>
        </w:tc>
        <w:tc>
          <w:tcPr>
            <w:tcW w:type="dxa" w:w="4536"/>
            <w:shd w:val="clear" w:color="auto" w:fill="F9FAFB"/>
          </w:tcPr>
          <w:p>
            <w:r>
              <w:rPr>
                <w:rFonts w:ascii="Calibri" w:hAnsi="Calibri"/>
                <w:sz w:val="20"/>
              </w:rPr>
              <w:t>Signal shape complexity (ratio of mobility of derivatives)</w:t>
            </w:r>
          </w:p>
        </w:tc>
      </w:tr>
      <w:tr>
        <w:tc>
          <w:tcPr>
            <w:tcW w:type="dxa" w:w="4536"/>
            <w:shd w:val="clear" w:color="auto" w:fill="FFFFFF"/>
          </w:tcPr>
          <w:p>
            <w:r>
              <w:rPr>
                <w:rFonts w:ascii="Calibri" w:hAnsi="Calibri"/>
                <w:sz w:val="20"/>
              </w:rPr>
              <w:t>Power Spectral Density</w:t>
            </w:r>
          </w:p>
        </w:tc>
        <w:tc>
          <w:tcPr>
            <w:tcW w:type="dxa" w:w="4536"/>
            <w:shd w:val="clear" w:color="auto" w:fill="FFFFFF"/>
          </w:tcPr>
          <w:p>
            <w:r>
              <w:rPr>
                <w:rFonts w:ascii="Calibri" w:hAnsi="Calibri"/>
                <w:sz w:val="20"/>
              </w:rPr>
              <w:t>Mean squared FFT magnitude — overall signal power</w:t>
            </w:r>
          </w:p>
        </w:tc>
      </w:tr>
    </w:tbl>
    <w:p/>
    <w:p>
      <w:pPr>
        <w:pStyle w:val="Heading2"/>
      </w:pPr>
      <w:r>
        <w:rPr>
          <w:rFonts w:ascii="Calibri" w:hAnsi="Calibri"/>
          <w:b/>
          <w:color w:val="0D9488"/>
          <w:sz w:val="30"/>
        </w:rPr>
        <w:t>7.4  Step 4: Visualisation</w:t>
      </w:r>
    </w:p>
    <w:p>
      <w:pPr>
        <w:spacing w:after="120"/>
      </w:pPr>
      <w:r>
        <w:rPr>
          <w:rFonts w:ascii="Calibri" w:hAnsi="Calibri"/>
          <w:b w:val="0"/>
          <w:i w:val="0"/>
          <w:sz w:val="22"/>
        </w:rPr>
        <w:t>Each analysis step produces up to three matplotlib figures. Adjust figure font sizes using the per-figure slider controls. Figures are generated server-side and displayed in the GUI panel.</w:t>
      </w:r>
    </w:p>
    <w:p>
      <w:r>
        <w:br w:type="page"/>
      </w:r>
    </w:p>
    <w:p>
      <w:pPr>
        <w:pStyle w:val="Heading1"/>
      </w:pPr>
      <w:r>
        <w:rPr>
          <w:rFonts w:ascii="Calibri" w:hAnsi="Calibri"/>
          <w:b/>
          <w:color w:val="C084FC"/>
          <w:sz w:val="40"/>
        </w:rPr>
        <w:t>8. Experiment Hub</w:t>
      </w:r>
    </w:p>
    <w:p>
      <w:pPr>
        <w:spacing w:after="120"/>
      </w:pPr>
      <w:r>
        <w:rPr>
          <w:rFonts w:ascii="Calibri" w:hAnsi="Calibri"/>
          <w:b w:val="0"/>
          <w:i w:val="0"/>
          <w:sz w:val="22"/>
        </w:rPr>
        <w:t>The Experiment Hub automatically records every training run as a versioned experiment entry. You never lose a previous result — every run is tracked, comparable, and fully restorable.</w:t>
      </w:r>
    </w:p>
    <w:p>
      <w:pPr>
        <w:pStyle w:val="Heading2"/>
      </w:pPr>
      <w:r>
        <w:rPr>
          <w:rFonts w:ascii="Calibri" w:hAnsi="Calibri"/>
          <w:b/>
          <w:color w:val="0D9488"/>
          <w:sz w:val="30"/>
        </w:rPr>
        <w:t>8.1  Experiment Table</w:t>
      </w:r>
    </w:p>
    <w:p>
      <w:pPr>
        <w:spacing w:after="120"/>
      </w:pPr>
      <w:r>
        <w:rPr>
          <w:rFonts w:ascii="Calibri" w:hAnsi="Calibri"/>
          <w:b w:val="0"/>
          <w:i w:val="0"/>
          <w:sz w:val="22"/>
        </w:rPr>
        <w:t>The hub displays a table of all experiments with these columns:</w:t>
      </w:r>
    </w:p>
    <w:p>
      <w:pPr>
        <w:pStyle w:val="ListBullet"/>
        <w:spacing w:after="60"/>
        <w:ind w:left="432"/>
      </w:pPr>
      <w:r>
        <w:rPr>
          <w:rFonts w:ascii="Calibri" w:hAnsi="Calibri"/>
          <w:b w:val="0"/>
          <w:i w:val="0"/>
          <w:sz w:val="21"/>
        </w:rPr>
        <w:t>Title — experiment name</w:t>
      </w:r>
    </w:p>
    <w:p>
      <w:pPr>
        <w:pStyle w:val="ListBullet"/>
        <w:spacing w:after="60"/>
        <w:ind w:left="432"/>
      </w:pPr>
      <w:r>
        <w:rPr>
          <w:rFonts w:ascii="Calibri" w:hAnsi="Calibri"/>
          <w:b w:val="0"/>
          <w:i w:val="0"/>
          <w:sz w:val="21"/>
        </w:rPr>
        <w:t>Version — automatically incremented (v1, v2, v3…)</w:t>
      </w:r>
    </w:p>
    <w:p>
      <w:pPr>
        <w:pStyle w:val="ListBullet"/>
        <w:spacing w:after="60"/>
        <w:ind w:left="432"/>
      </w:pPr>
      <w:r>
        <w:rPr>
          <w:rFonts w:ascii="Calibri" w:hAnsi="Calibri"/>
          <w:b w:val="0"/>
          <w:i w:val="0"/>
          <w:sz w:val="21"/>
        </w:rPr>
        <w:t>Workflow — which workflow configuration was used</w:t>
      </w:r>
    </w:p>
    <w:p>
      <w:pPr>
        <w:pStyle w:val="ListBullet"/>
        <w:spacing w:after="60"/>
        <w:ind w:left="432"/>
      </w:pPr>
      <w:r>
        <w:rPr>
          <w:rFonts w:ascii="Calibri" w:hAnsi="Calibri"/>
          <w:b w:val="0"/>
          <w:i w:val="0"/>
          <w:sz w:val="21"/>
        </w:rPr>
        <w:t>Best Score — highest accuracy across all subjects</w:t>
      </w:r>
    </w:p>
    <w:p>
      <w:pPr>
        <w:pStyle w:val="ListBullet"/>
        <w:spacing w:after="60"/>
        <w:ind w:left="432"/>
      </w:pPr>
      <w:r>
        <w:rPr>
          <w:rFonts w:ascii="Calibri" w:hAnsi="Calibri"/>
          <w:b w:val="0"/>
          <w:i w:val="0"/>
          <w:sz w:val="21"/>
        </w:rPr>
        <w:t>Runs — number of subjects trained</w:t>
      </w:r>
    </w:p>
    <w:p>
      <w:pPr>
        <w:pStyle w:val="ListBullet"/>
        <w:spacing w:after="60"/>
        <w:ind w:left="432"/>
      </w:pPr>
      <w:r>
        <w:rPr>
          <w:rFonts w:ascii="Calibri" w:hAnsi="Calibri"/>
          <w:b w:val="0"/>
          <w:i w:val="0"/>
          <w:sz w:val="21"/>
        </w:rPr>
        <w:t>Last Updated — timestamp of last modification</w:t>
      </w:r>
    </w:p>
    <w:p>
      <w:pPr>
        <w:pStyle w:val="Heading2"/>
      </w:pPr>
      <w:r>
        <w:rPr>
          <w:rFonts w:ascii="Calibri" w:hAnsi="Calibri"/>
          <w:b/>
          <w:color w:val="0D9488"/>
          <w:sz w:val="30"/>
        </w:rPr>
        <w:t>8.2  Restoring a Previous Experiment</w:t>
      </w:r>
    </w:p>
    <w:p>
      <w:pPr>
        <w:spacing w:after="120"/>
      </w:pPr>
      <w:r>
        <w:rPr>
          <w:rFonts w:ascii="Calibri" w:hAnsi="Calibri"/>
          <w:b w:val="0"/>
          <w:i w:val="0"/>
          <w:sz w:val="22"/>
        </w:rPr>
        <w:t>Right-click any experiment row and select Restore. A dialog lets you choose which components to restore:</w:t>
      </w:r>
    </w:p>
    <w:p>
      <w:pPr>
        <w:pStyle w:val="ListBullet"/>
        <w:spacing w:after="60"/>
        <w:ind w:left="432"/>
      </w:pPr>
      <w:r>
        <w:rPr>
          <w:rFonts w:ascii="Calibri" w:hAnsi="Calibri"/>
          <w:b w:val="0"/>
          <w:i w:val="0"/>
          <w:sz w:val="21"/>
        </w:rPr>
        <w:t>NeuralFlow Paradigm</w:t>
      </w:r>
    </w:p>
    <w:p>
      <w:pPr>
        <w:pStyle w:val="ListBullet"/>
        <w:spacing w:after="60"/>
        <w:ind w:left="432"/>
      </w:pPr>
      <w:r>
        <w:rPr>
          <w:rFonts w:ascii="Calibri" w:hAnsi="Calibri"/>
          <w:b w:val="0"/>
          <w:i w:val="0"/>
          <w:sz w:val="21"/>
        </w:rPr>
        <w:t>ML Pipeline (MLFlow)</w:t>
      </w:r>
    </w:p>
    <w:p>
      <w:pPr>
        <w:pStyle w:val="ListBullet"/>
        <w:spacing w:after="60"/>
        <w:ind w:left="432"/>
      </w:pPr>
      <w:r>
        <w:rPr>
          <w:rFonts w:ascii="Calibri" w:hAnsi="Calibri"/>
          <w:b w:val="0"/>
          <w:i w:val="0"/>
          <w:sz w:val="21"/>
        </w:rPr>
        <w:t>Workflow Configuration</w:t>
      </w:r>
    </w:p>
    <w:p>
      <w:pPr>
        <w:pStyle w:val="ListBullet"/>
        <w:spacing w:after="60"/>
        <w:ind w:left="432"/>
      </w:pPr>
      <w:r>
        <w:rPr>
          <w:rFonts w:ascii="Calibri" w:hAnsi="Calibri"/>
          <w:b w:val="0"/>
          <w:i w:val="0"/>
          <w:sz w:val="21"/>
        </w:rPr>
        <w:t>Preprocessing Configuration</w:t>
      </w:r>
    </w:p>
    <w:p>
      <w:pPr>
        <w:pStyle w:val="ListBullet"/>
        <w:spacing w:after="60"/>
        <w:ind w:left="432"/>
      </w:pPr>
      <w:r>
        <w:rPr>
          <w:rFonts w:ascii="Calibri" w:hAnsi="Calibri"/>
          <w:b w:val="0"/>
          <w:i w:val="0"/>
          <w:sz w:val="21"/>
        </w:rPr>
        <w:t>Training Results</w:t>
      </w:r>
    </w:p>
    <w:p>
      <w:pPr>
        <w:pStyle w:val="ListBullet"/>
        <w:spacing w:after="60"/>
        <w:ind w:left="432"/>
      </w:pPr>
      <w:r>
        <w:rPr>
          <w:rFonts w:ascii="Calibri" w:hAnsi="Calibri"/>
          <w:b w:val="0"/>
          <w:i w:val="0"/>
          <w:sz w:val="21"/>
        </w:rPr>
        <w:t>Analysis Results</w:t>
      </w:r>
    </w:p>
    <w:p>
      <w:pPr>
        <w:spacing w:after="120"/>
      </w:pPr>
      <w:r>
        <w:rPr>
          <w:rFonts w:ascii="Calibri" w:hAnsi="Calibri"/>
          <w:b w:val="0"/>
          <w:i w:val="0"/>
          <w:sz w:val="22"/>
        </w:rPr>
        <w:t>Select any combination and click Restore. Changes take effect immediately without restarting.</w:t>
      </w:r>
    </w:p>
    <w:p>
      <w:pPr>
        <w:pStyle w:val="Heading2"/>
      </w:pPr>
      <w:r>
        <w:rPr>
          <w:rFonts w:ascii="Calibri" w:hAnsi="Calibri"/>
          <w:b/>
          <w:color w:val="0D9488"/>
          <w:sz w:val="30"/>
        </w:rPr>
        <w:t>8.3  Exporting Trained Models (Researcher+ plan)</w:t>
      </w:r>
    </w:p>
    <w:p>
      <w:pPr>
        <w:pStyle w:val="ListBullet"/>
        <w:spacing w:after="60"/>
        <w:ind w:left="432"/>
      </w:pPr>
      <w:r>
        <w:rPr>
          <w:rFonts w:ascii="Calibri" w:hAnsi="Calibri"/>
          <w:b w:val="0"/>
          <w:i w:val="0"/>
          <w:sz w:val="21"/>
        </w:rPr>
        <w:t>Right-click an experiment → Export Model.</w:t>
      </w:r>
    </w:p>
    <w:p>
      <w:pPr>
        <w:pStyle w:val="ListBullet"/>
        <w:spacing w:after="60"/>
        <w:ind w:left="432"/>
      </w:pPr>
      <w:r>
        <w:rPr>
          <w:rFonts w:ascii="Calibri" w:hAnsi="Calibri"/>
          <w:b w:val="0"/>
          <w:i w:val="0"/>
          <w:sz w:val="21"/>
        </w:rPr>
        <w:t>Choose format: PyTorch (.pt), ONNX (.onnx), TFLite (.tflite), or MATLAB (.mat).</w:t>
      </w:r>
    </w:p>
    <w:p>
      <w:pPr>
        <w:pStyle w:val="ListBullet"/>
        <w:spacing w:after="60"/>
        <w:ind w:left="432"/>
      </w:pPr>
      <w:r>
        <w:rPr>
          <w:rFonts w:ascii="Calibri" w:hAnsi="Calibri"/>
          <w:b w:val="0"/>
          <w:i w:val="0"/>
          <w:sz w:val="21"/>
        </w:rPr>
        <w:t>The exported file is saved to the location you specify.</w:t>
      </w:r>
    </w:p>
    <w:p>
      <w:r>
        <w:br w:type="page"/>
      </w:r>
    </w:p>
    <w:p>
      <w:pPr>
        <w:pStyle w:val="Heading1"/>
      </w:pPr>
      <w:r>
        <w:rPr>
          <w:rFonts w:ascii="Calibri" w:hAnsi="Calibri"/>
          <w:b/>
          <w:color w:val="C084FC"/>
          <w:sz w:val="40"/>
        </w:rPr>
        <w:t>9. Reports</w:t>
      </w:r>
    </w:p>
    <w:p>
      <w:pPr>
        <w:spacing w:after="120"/>
      </w:pPr>
      <w:r>
        <w:rPr>
          <w:rFonts w:ascii="Calibri" w:hAnsi="Calibri"/>
          <w:b w:val="0"/>
          <w:i w:val="0"/>
          <w:sz w:val="22"/>
        </w:rPr>
        <w:t>The Reports module generates a complete, standalone session summary in one click. Reports are self-contained files (inline CSS, no external dependencies) suitable for lab notebooks, paper supplements, and institutional review.</w:t>
      </w:r>
    </w:p>
    <w:p>
      <w:pPr>
        <w:pStyle w:val="Heading2"/>
      </w:pPr>
      <w:r>
        <w:rPr>
          <w:rFonts w:ascii="Calibri" w:hAnsi="Calibri"/>
          <w:b/>
          <w:color w:val="0D9488"/>
          <w:sz w:val="30"/>
        </w:rPr>
        <w:t>9.1  Generating a Report</w:t>
      </w:r>
    </w:p>
    <w:p>
      <w:pPr>
        <w:pStyle w:val="ListBullet"/>
        <w:spacing w:after="60"/>
        <w:ind w:left="432"/>
      </w:pPr>
      <w:r>
        <w:rPr>
          <w:rFonts w:ascii="Calibri" w:hAnsi="Calibri"/>
          <w:b w:val="0"/>
          <w:i w:val="0"/>
          <w:sz w:val="21"/>
        </w:rPr>
        <w:t>Click Reports in the left sidebar.</w:t>
      </w:r>
    </w:p>
    <w:p>
      <w:pPr>
        <w:pStyle w:val="ListBullet"/>
        <w:spacing w:after="60"/>
        <w:ind w:left="432"/>
      </w:pPr>
      <w:r>
        <w:rPr>
          <w:rFonts w:ascii="Calibri" w:hAnsi="Calibri"/>
          <w:b w:val="0"/>
          <w:i w:val="0"/>
          <w:sz w:val="21"/>
        </w:rPr>
        <w:t>Click Generate Report.</w:t>
      </w:r>
    </w:p>
    <w:p>
      <w:pPr>
        <w:pStyle w:val="ListBullet"/>
        <w:spacing w:after="60"/>
        <w:ind w:left="432"/>
      </w:pPr>
      <w:r>
        <w:rPr>
          <w:rFonts w:ascii="Calibri" w:hAnsi="Calibri"/>
          <w:b w:val="0"/>
          <w:i w:val="0"/>
          <w:sz w:val="21"/>
        </w:rPr>
        <w:t>Choose HTML (web page, viewable in any browser) or PDF.</w:t>
      </w:r>
    </w:p>
    <w:p>
      <w:pPr>
        <w:pStyle w:val="ListBullet"/>
        <w:spacing w:after="60"/>
        <w:ind w:left="432"/>
      </w:pPr>
      <w:r>
        <w:rPr>
          <w:rFonts w:ascii="Calibri" w:hAnsi="Calibri"/>
          <w:b w:val="0"/>
          <w:i w:val="0"/>
          <w:sz w:val="21"/>
        </w:rPr>
        <w:t>Choose a save location.</w:t>
      </w:r>
    </w:p>
    <w:p>
      <w:pPr>
        <w:pStyle w:val="ListBullet"/>
        <w:spacing w:after="60"/>
        <w:ind w:left="432"/>
      </w:pPr>
      <w:r>
        <w:rPr>
          <w:rFonts w:ascii="Calibri" w:hAnsi="Calibri"/>
          <w:b w:val="0"/>
          <w:i w:val="0"/>
          <w:sz w:val="21"/>
        </w:rPr>
        <w:t>BCILattice compiles the report from the current session state in under 5 seconds.</w:t>
      </w:r>
    </w:p>
    <w:p>
      <w:pPr>
        <w:pStyle w:val="Heading2"/>
      </w:pPr>
      <w:r>
        <w:rPr>
          <w:rFonts w:ascii="Calibri" w:hAnsi="Calibri"/>
          <w:b/>
          <w:color w:val="0D9488"/>
          <w:sz w:val="30"/>
        </w:rPr>
        <w:t>9.2  Report Sections</w:t>
      </w:r>
    </w:p>
    <w:tbl>
      <w:tblPr>
        <w:tblStyle w:val="TableGrid"/>
        <w:tblW w:type="auto" w:w="0"/>
        <w:tblLook w:firstColumn="1" w:firstRow="1" w:lastColumn="0" w:lastRow="0" w:noHBand="0" w:noVBand="1" w:val="04A0"/>
      </w:tblPr>
      <w:tblGrid>
        <w:gridCol w:w="4536"/>
        <w:gridCol w:w="4536"/>
      </w:tblGrid>
      <w:tr>
        <w:tc>
          <w:tcPr>
            <w:tcW w:type="dxa" w:w="4536"/>
            <w:shd w:val="clear" w:color="auto" w:fill="0D9488"/>
          </w:tcPr>
          <w:p>
            <w:pPr>
              <w:jc w:val="center"/>
            </w:pPr>
            <w:r>
              <w:rPr>
                <w:rFonts w:ascii="Calibri" w:hAnsi="Calibri"/>
                <w:b/>
                <w:color w:val="FFFFFF"/>
                <w:sz w:val="20"/>
              </w:rPr>
              <w:t>Section</w:t>
            </w:r>
          </w:p>
        </w:tc>
        <w:tc>
          <w:tcPr>
            <w:tcW w:type="dxa" w:w="4536"/>
            <w:shd w:val="clear" w:color="auto" w:fill="0D9488"/>
          </w:tcPr>
          <w:p>
            <w:pPr>
              <w:jc w:val="center"/>
            </w:pPr>
            <w:r>
              <w:rPr>
                <w:rFonts w:ascii="Calibri" w:hAnsi="Calibri"/>
                <w:b/>
                <w:color w:val="FFFFFF"/>
                <w:sz w:val="20"/>
              </w:rPr>
              <w:t>Content</w:t>
            </w:r>
          </w:p>
        </w:tc>
      </w:tr>
      <w:tr>
        <w:tc>
          <w:tcPr>
            <w:tcW w:type="dxa" w:w="4536"/>
            <w:shd w:val="clear" w:color="auto" w:fill="F9FAFB"/>
          </w:tcPr>
          <w:p>
            <w:r>
              <w:rPr>
                <w:rFonts w:ascii="Calibri" w:hAnsi="Calibri"/>
                <w:sz w:val="20"/>
              </w:rPr>
              <w:t>Session Metadata</w:t>
            </w:r>
          </w:p>
        </w:tc>
        <w:tc>
          <w:tcPr>
            <w:tcW w:type="dxa" w:w="4536"/>
            <w:shd w:val="clear" w:color="auto" w:fill="F9FAFB"/>
          </w:tcPr>
          <w:p>
            <w:r>
              <w:rPr>
                <w:rFonts w:ascii="Calibri" w:hAnsi="Calibri"/>
                <w:sz w:val="20"/>
              </w:rPr>
              <w:t>Session name, creation date, BCINexus version, export timestamp</w:t>
            </w:r>
          </w:p>
        </w:tc>
      </w:tr>
      <w:tr>
        <w:tc>
          <w:tcPr>
            <w:tcW w:type="dxa" w:w="4536"/>
            <w:shd w:val="clear" w:color="auto" w:fill="FFFFFF"/>
          </w:tcPr>
          <w:p>
            <w:r>
              <w:rPr>
                <w:rFonts w:ascii="Calibri" w:hAnsi="Calibri"/>
                <w:sz w:val="20"/>
              </w:rPr>
              <w:t>Data Manager</w:t>
            </w:r>
          </w:p>
        </w:tc>
        <w:tc>
          <w:tcPr>
            <w:tcW w:type="dxa" w:w="4536"/>
            <w:shd w:val="clear" w:color="auto" w:fill="FFFFFF"/>
          </w:tcPr>
          <w:p>
            <w:r>
              <w:rPr>
                <w:rFonts w:ascii="Calibri" w:hAnsi="Calibri"/>
                <w:sz w:val="20"/>
              </w:rPr>
              <w:t>Per-modality table: file names, subjects, sampling rate, duration, channels</w:t>
            </w:r>
          </w:p>
        </w:tc>
      </w:tr>
      <w:tr>
        <w:tc>
          <w:tcPr>
            <w:tcW w:type="dxa" w:w="4536"/>
            <w:shd w:val="clear" w:color="auto" w:fill="F9FAFB"/>
          </w:tcPr>
          <w:p>
            <w:r>
              <w:rPr>
                <w:rFonts w:ascii="Calibri" w:hAnsi="Calibri"/>
                <w:sz w:val="20"/>
              </w:rPr>
              <w:t>Preprocessing</w:t>
            </w:r>
          </w:p>
        </w:tc>
        <w:tc>
          <w:tcPr>
            <w:tcW w:type="dxa" w:w="4536"/>
            <w:shd w:val="clear" w:color="auto" w:fill="F9FAFB"/>
          </w:tcPr>
          <w:p>
            <w:r>
              <w:rPr>
                <w:rFonts w:ascii="Calibri" w:hAnsi="Calibri"/>
                <w:sz w:val="20"/>
              </w:rPr>
              <w:t>Complete parameter set: bandpass, notch, reference, resampling, custom code</w:t>
            </w:r>
          </w:p>
        </w:tc>
      </w:tr>
      <w:tr>
        <w:tc>
          <w:tcPr>
            <w:tcW w:type="dxa" w:w="4536"/>
            <w:shd w:val="clear" w:color="auto" w:fill="FFFFFF"/>
          </w:tcPr>
          <w:p>
            <w:r>
              <w:rPr>
                <w:rFonts w:ascii="Calibri" w:hAnsi="Calibri"/>
                <w:sz w:val="20"/>
              </w:rPr>
              <w:t>NeuralFlow Paradigm</w:t>
            </w:r>
          </w:p>
        </w:tc>
        <w:tc>
          <w:tcPr>
            <w:tcW w:type="dxa" w:w="4536"/>
            <w:shd w:val="clear" w:color="auto" w:fill="FFFFFF"/>
          </w:tcPr>
          <w:p>
            <w:r>
              <w:rPr>
                <w:rFonts w:ascii="Calibri" w:hAnsi="Calibri"/>
                <w:sz w:val="20"/>
              </w:rPr>
              <w:t>Block list, connection map, compiled paradigm filename, timeline summary</w:t>
            </w:r>
          </w:p>
        </w:tc>
      </w:tr>
      <w:tr>
        <w:tc>
          <w:tcPr>
            <w:tcW w:type="dxa" w:w="4536"/>
            <w:shd w:val="clear" w:color="auto" w:fill="F9FAFB"/>
          </w:tcPr>
          <w:p>
            <w:r>
              <w:rPr>
                <w:rFonts w:ascii="Calibri" w:hAnsi="Calibri"/>
                <w:sz w:val="20"/>
              </w:rPr>
              <w:t>Training Results</w:t>
            </w:r>
          </w:p>
        </w:tc>
        <w:tc>
          <w:tcPr>
            <w:tcW w:type="dxa" w:w="4536"/>
            <w:shd w:val="clear" w:color="auto" w:fill="F9FAFB"/>
          </w:tcPr>
          <w:p>
            <w:r>
              <w:rPr>
                <w:rFonts w:ascii="Calibri" w:hAnsi="Calibri"/>
                <w:sz w:val="20"/>
              </w:rPr>
              <w:t>Per-subject accuracy, F1 score, AUC; aggregate statistics across all subjects</w:t>
            </w:r>
          </w:p>
        </w:tc>
      </w:tr>
    </w:tbl>
    <w:p/>
    <w:p>
      <w:r>
        <w:br w:type="page"/>
      </w:r>
    </w:p>
    <w:p>
      <w:pPr>
        <w:pStyle w:val="Heading1"/>
      </w:pPr>
      <w:r>
        <w:rPr>
          <w:rFonts w:ascii="Calibri" w:hAnsi="Calibri"/>
          <w:b/>
          <w:color w:val="C084FC"/>
          <w:sz w:val="40"/>
        </w:rPr>
        <w:t>10. Teams &amp; Cloud</w:t>
      </w:r>
    </w:p>
    <w:p>
      <w:pPr>
        <w:spacing w:after="120"/>
      </w:pPr>
      <w:r>
        <w:rPr>
          <w:rFonts w:ascii="Calibri" w:hAnsi="Calibri"/>
          <w:b w:val="0"/>
          <w:i w:val="0"/>
          <w:sz w:val="22"/>
        </w:rPr>
        <w:t>BCILattice's cloud layer provides storage synchronisation and team collaboration. All training and computation remains on your local machine. You control exactly what is uploaded, when, and to whom.</w:t>
      </w:r>
    </w:p>
    <w:p>
      <w:pPr>
        <w:pStyle w:val="Heading2"/>
      </w:pPr>
      <w:r>
        <w:rPr>
          <w:rFonts w:ascii="Calibri" w:hAnsi="Calibri"/>
          <w:b/>
          <w:color w:val="0D9488"/>
          <w:sz w:val="30"/>
        </w:rPr>
        <w:t>10.1  Creating an Account and Signing In</w:t>
      </w:r>
    </w:p>
    <w:p>
      <w:pPr>
        <w:pStyle w:val="ListBullet"/>
        <w:spacing w:after="60"/>
        <w:ind w:left="432"/>
      </w:pPr>
      <w:r>
        <w:rPr>
          <w:rFonts w:ascii="Calibri" w:hAnsi="Calibri"/>
          <w:b w:val="0"/>
          <w:i w:val="0"/>
          <w:sz w:val="21"/>
        </w:rPr>
        <w:t>Register at bcinexus.io/register or via the Sign In button in BCILattice.</w:t>
      </w:r>
    </w:p>
    <w:p>
      <w:pPr>
        <w:pStyle w:val="ListBullet"/>
        <w:spacing w:after="60"/>
        <w:ind w:left="432"/>
      </w:pPr>
      <w:r>
        <w:rPr>
          <w:rFonts w:ascii="Calibri" w:hAnsi="Calibri"/>
          <w:b w:val="0"/>
          <w:i w:val="0"/>
          <w:sz w:val="21"/>
        </w:rPr>
        <w:t>Verify your email address.</w:t>
      </w:r>
    </w:p>
    <w:p>
      <w:pPr>
        <w:pStyle w:val="ListBullet"/>
        <w:spacing w:after="60"/>
        <w:ind w:left="432"/>
      </w:pPr>
      <w:r>
        <w:rPr>
          <w:rFonts w:ascii="Calibri" w:hAnsi="Calibri"/>
          <w:b w:val="0"/>
          <w:i w:val="0"/>
          <w:sz w:val="21"/>
        </w:rPr>
        <w:t>Sign in from BCILattice — your JWT token is cached at ~/.bcilattice/auth.json.</w:t>
      </w:r>
    </w:p>
    <w:p>
      <w:pPr>
        <w:pStyle w:val="ListBullet"/>
        <w:spacing w:after="60"/>
        <w:ind w:left="432"/>
      </w:pPr>
      <w:r>
        <w:rPr>
          <w:rFonts w:ascii="Calibri" w:hAnsi="Calibri"/>
          <w:b w:val="0"/>
          <w:i w:val="0"/>
          <w:sz w:val="21"/>
        </w:rPr>
        <w:t>The token refreshes automatically. You only need to sign in once per device.</w:t>
      </w:r>
    </w:p>
    <w:p>
      <w:pPr>
        <w:pStyle w:val="Heading2"/>
      </w:pPr>
      <w:r>
        <w:rPr>
          <w:rFonts w:ascii="Calibri" w:hAnsi="Calibri"/>
          <w:b/>
          <w:color w:val="0D9488"/>
          <w:sz w:val="30"/>
        </w:rPr>
        <w:t>10.2  Creating or Joining a Team (Lab+ plan)</w:t>
      </w:r>
    </w:p>
    <w:p>
      <w:pPr>
        <w:pStyle w:val="ListBullet"/>
        <w:spacing w:after="60"/>
        <w:ind w:left="432"/>
      </w:pPr>
      <w:r>
        <w:rPr>
          <w:rFonts w:ascii="Calibri" w:hAnsi="Calibri"/>
          <w:b w:val="0"/>
          <w:i w:val="0"/>
          <w:sz w:val="21"/>
        </w:rPr>
        <w:t>Click Teams in the left sidebar.</w:t>
      </w:r>
    </w:p>
    <w:p>
      <w:pPr>
        <w:pStyle w:val="ListBullet"/>
        <w:spacing w:after="60"/>
        <w:ind w:left="432"/>
      </w:pPr>
      <w:r>
        <w:rPr>
          <w:rFonts w:ascii="Calibri" w:hAnsi="Calibri"/>
          <w:b w:val="0"/>
          <w:i w:val="0"/>
          <w:sz w:val="21"/>
        </w:rPr>
        <w:t>Click Create Team or accept an invitation link sent by your team owner.</w:t>
      </w:r>
    </w:p>
    <w:p>
      <w:pPr>
        <w:pStyle w:val="ListBullet"/>
        <w:spacing w:after="60"/>
        <w:ind w:left="432"/>
      </w:pPr>
      <w:r>
        <w:rPr>
          <w:rFonts w:ascii="Calibri" w:hAnsi="Calibri"/>
          <w:b w:val="0"/>
          <w:i w:val="0"/>
          <w:sz w:val="21"/>
        </w:rPr>
        <w:t>Assign roles to team members: Owner, Admin, Member, or Viewer.</w:t>
      </w:r>
    </w:p>
    <w:p>
      <w:pPr>
        <w:pStyle w:val="Heading2"/>
      </w:pPr>
      <w:r>
        <w:rPr>
          <w:rFonts w:ascii="Calibri" w:hAnsi="Calibri"/>
          <w:b/>
          <w:color w:val="0D9488"/>
          <w:sz w:val="30"/>
        </w:rPr>
        <w:t>10.3  Sharing a Dataset with Your Team</w:t>
      </w:r>
    </w:p>
    <w:p>
      <w:pPr>
        <w:pStyle w:val="ListBullet"/>
        <w:spacing w:after="60"/>
        <w:ind w:left="432"/>
      </w:pPr>
      <w:r>
        <w:rPr>
          <w:rFonts w:ascii="Calibri" w:hAnsi="Calibri"/>
          <w:b w:val="0"/>
          <w:i w:val="0"/>
          <w:sz w:val="21"/>
        </w:rPr>
        <w:t>In Data Manager, right-click a session → Upload to Team.</w:t>
      </w:r>
    </w:p>
    <w:p>
      <w:pPr>
        <w:pStyle w:val="ListBullet"/>
        <w:spacing w:after="60"/>
        <w:ind w:left="432"/>
      </w:pPr>
      <w:r>
        <w:rPr>
          <w:rFonts w:ascii="Calibri" w:hAnsi="Calibri"/>
          <w:b w:val="0"/>
          <w:i w:val="0"/>
          <w:sz w:val="21"/>
        </w:rPr>
        <w:t>BCILattice computes the SHA-256 checksum and uploads the file to the team's shared library.</w:t>
      </w:r>
    </w:p>
    <w:p>
      <w:pPr>
        <w:pStyle w:val="ListBullet"/>
        <w:spacing w:after="60"/>
        <w:ind w:left="432"/>
      </w:pPr>
      <w:r>
        <w:rPr>
          <w:rFonts w:ascii="Calibri" w:hAnsi="Calibri"/>
          <w:b w:val="0"/>
          <w:i w:val="0"/>
          <w:sz w:val="21"/>
        </w:rPr>
        <w:t>Team members can download the dataset directly into their own local Data Manager.</w:t>
      </w:r>
    </w:p>
    <w:p>
      <w:pPr>
        <w:pStyle w:val="ListBullet"/>
        <w:spacing w:after="60"/>
        <w:ind w:left="432"/>
      </w:pPr>
      <w:r>
        <w:rPr>
          <w:rFonts w:ascii="Calibri" w:hAnsi="Calibri"/>
          <w:b w:val="0"/>
          <w:i w:val="0"/>
          <w:sz w:val="21"/>
        </w:rPr>
        <w:t>All uploads and downloads appear in the timestamped Team Activity Feed.</w:t>
      </w:r>
    </w:p>
    <w:p>
      <w:pPr>
        <w:pStyle w:val="Heading2"/>
      </w:pPr>
      <w:r>
        <w:rPr>
          <w:rFonts w:ascii="Calibri" w:hAnsi="Calibri"/>
          <w:b/>
          <w:color w:val="0D9488"/>
          <w:sz w:val="30"/>
        </w:rPr>
        <w:t>10.4  Role Permissions</w:t>
      </w:r>
    </w:p>
    <w:tbl>
      <w:tblPr>
        <w:tblStyle w:val="TableGrid"/>
        <w:tblW w:type="auto" w:w="0"/>
        <w:tblLook w:firstColumn="1" w:firstRow="1" w:lastColumn="0" w:lastRow="0" w:noHBand="0" w:noVBand="1" w:val="04A0"/>
      </w:tblPr>
      <w:tblGrid>
        <w:gridCol w:w="1814"/>
        <w:gridCol w:w="1814"/>
        <w:gridCol w:w="1814"/>
        <w:gridCol w:w="1814"/>
        <w:gridCol w:w="1814"/>
      </w:tblGrid>
      <w:tr>
        <w:tc>
          <w:tcPr>
            <w:tcW w:type="dxa" w:w="1814"/>
            <w:shd w:val="clear" w:color="auto" w:fill="0D9488"/>
          </w:tcPr>
          <w:p>
            <w:pPr>
              <w:jc w:val="center"/>
            </w:pPr>
            <w:r>
              <w:rPr>
                <w:rFonts w:ascii="Calibri" w:hAnsi="Calibri"/>
                <w:b/>
                <w:color w:val="FFFFFF"/>
                <w:sz w:val="20"/>
              </w:rPr>
              <w:t>Action</w:t>
            </w:r>
          </w:p>
        </w:tc>
        <w:tc>
          <w:tcPr>
            <w:tcW w:type="dxa" w:w="1814"/>
            <w:shd w:val="clear" w:color="auto" w:fill="0D9488"/>
          </w:tcPr>
          <w:p>
            <w:pPr>
              <w:jc w:val="center"/>
            </w:pPr>
            <w:r>
              <w:rPr>
                <w:rFonts w:ascii="Calibri" w:hAnsi="Calibri"/>
                <w:b/>
                <w:color w:val="FFFFFF"/>
                <w:sz w:val="20"/>
              </w:rPr>
              <w:t>Owner</w:t>
            </w:r>
          </w:p>
        </w:tc>
        <w:tc>
          <w:tcPr>
            <w:tcW w:type="dxa" w:w="1814"/>
            <w:shd w:val="clear" w:color="auto" w:fill="0D9488"/>
          </w:tcPr>
          <w:p>
            <w:pPr>
              <w:jc w:val="center"/>
            </w:pPr>
            <w:r>
              <w:rPr>
                <w:rFonts w:ascii="Calibri" w:hAnsi="Calibri"/>
                <w:b/>
                <w:color w:val="FFFFFF"/>
                <w:sz w:val="20"/>
              </w:rPr>
              <w:t>Admin</w:t>
            </w:r>
          </w:p>
        </w:tc>
        <w:tc>
          <w:tcPr>
            <w:tcW w:type="dxa" w:w="1814"/>
            <w:shd w:val="clear" w:color="auto" w:fill="0D9488"/>
          </w:tcPr>
          <w:p>
            <w:pPr>
              <w:jc w:val="center"/>
            </w:pPr>
            <w:r>
              <w:rPr>
                <w:rFonts w:ascii="Calibri" w:hAnsi="Calibri"/>
                <w:b/>
                <w:color w:val="FFFFFF"/>
                <w:sz w:val="20"/>
              </w:rPr>
              <w:t>Member</w:t>
            </w:r>
          </w:p>
        </w:tc>
        <w:tc>
          <w:tcPr>
            <w:tcW w:type="dxa" w:w="1814"/>
            <w:shd w:val="clear" w:color="auto" w:fill="0D9488"/>
          </w:tcPr>
          <w:p>
            <w:pPr>
              <w:jc w:val="center"/>
            </w:pPr>
            <w:r>
              <w:rPr>
                <w:rFonts w:ascii="Calibri" w:hAnsi="Calibri"/>
                <w:b/>
                <w:color w:val="FFFFFF"/>
                <w:sz w:val="20"/>
              </w:rPr>
              <w:t>Viewer</w:t>
            </w:r>
          </w:p>
        </w:tc>
      </w:tr>
      <w:tr>
        <w:tc>
          <w:tcPr>
            <w:tcW w:type="dxa" w:w="1814"/>
            <w:shd w:val="clear" w:color="auto" w:fill="F9FAFB"/>
          </w:tcPr>
          <w:p>
            <w:r>
              <w:rPr>
                <w:rFonts w:ascii="Calibri" w:hAnsi="Calibri"/>
                <w:sz w:val="20"/>
              </w:rPr>
              <w:t>Upload datasets/projects</w:t>
            </w:r>
          </w:p>
        </w:tc>
        <w:tc>
          <w:tcPr>
            <w:tcW w:type="dxa" w:w="1814"/>
            <w:shd w:val="clear" w:color="auto" w:fill="F9FAFB"/>
          </w:tcPr>
          <w:p>
            <w:r>
              <w:rPr>
                <w:rFonts w:ascii="Calibri" w:hAnsi="Calibri"/>
                <w:sz w:val="20"/>
              </w:rPr>
              <w:t>✓</w:t>
            </w:r>
          </w:p>
        </w:tc>
        <w:tc>
          <w:tcPr>
            <w:tcW w:type="dxa" w:w="1814"/>
            <w:shd w:val="clear" w:color="auto" w:fill="F9FAFB"/>
          </w:tcPr>
          <w:p>
            <w:r>
              <w:rPr>
                <w:rFonts w:ascii="Calibri" w:hAnsi="Calibri"/>
                <w:sz w:val="20"/>
              </w:rPr>
              <w:t>✓</w:t>
            </w:r>
          </w:p>
        </w:tc>
        <w:tc>
          <w:tcPr>
            <w:tcW w:type="dxa" w:w="1814"/>
            <w:shd w:val="clear" w:color="auto" w:fill="F9FAFB"/>
          </w:tcPr>
          <w:p>
            <w:r>
              <w:rPr>
                <w:rFonts w:ascii="Calibri" w:hAnsi="Calibri"/>
                <w:sz w:val="20"/>
              </w:rPr>
              <w:t>✓</w:t>
            </w:r>
          </w:p>
        </w:tc>
        <w:tc>
          <w:tcPr>
            <w:tcW w:type="dxa" w:w="1814"/>
            <w:shd w:val="clear" w:color="auto" w:fill="F9FAFB"/>
          </w:tcPr>
          <w:p>
            <w:r>
              <w:rPr>
                <w:rFonts w:ascii="Calibri" w:hAnsi="Calibri"/>
                <w:sz w:val="20"/>
              </w:rPr>
              <w:t>—</w:t>
            </w:r>
          </w:p>
        </w:tc>
      </w:tr>
      <w:tr>
        <w:tc>
          <w:tcPr>
            <w:tcW w:type="dxa" w:w="1814"/>
            <w:shd w:val="clear" w:color="auto" w:fill="FFFFFF"/>
          </w:tcPr>
          <w:p>
            <w:r>
              <w:rPr>
                <w:rFonts w:ascii="Calibri" w:hAnsi="Calibri"/>
                <w:sz w:val="20"/>
              </w:rPr>
              <w:t>Download datasets/projects</w:t>
            </w:r>
          </w:p>
        </w:tc>
        <w:tc>
          <w:tcPr>
            <w:tcW w:type="dxa" w:w="1814"/>
            <w:shd w:val="clear" w:color="auto" w:fill="FFFFFF"/>
          </w:tcPr>
          <w:p>
            <w:r>
              <w:rPr>
                <w:rFonts w:ascii="Calibri" w:hAnsi="Calibri"/>
                <w:sz w:val="20"/>
              </w:rPr>
              <w:t>✓</w:t>
            </w:r>
          </w:p>
        </w:tc>
        <w:tc>
          <w:tcPr>
            <w:tcW w:type="dxa" w:w="1814"/>
            <w:shd w:val="clear" w:color="auto" w:fill="FFFFFF"/>
          </w:tcPr>
          <w:p>
            <w:r>
              <w:rPr>
                <w:rFonts w:ascii="Calibri" w:hAnsi="Calibri"/>
                <w:sz w:val="20"/>
              </w:rPr>
              <w:t>✓</w:t>
            </w:r>
          </w:p>
        </w:tc>
        <w:tc>
          <w:tcPr>
            <w:tcW w:type="dxa" w:w="1814"/>
            <w:shd w:val="clear" w:color="auto" w:fill="FFFFFF"/>
          </w:tcPr>
          <w:p>
            <w:r>
              <w:rPr>
                <w:rFonts w:ascii="Calibri" w:hAnsi="Calibri"/>
                <w:sz w:val="20"/>
              </w:rPr>
              <w:t>✓</w:t>
            </w:r>
          </w:p>
        </w:tc>
        <w:tc>
          <w:tcPr>
            <w:tcW w:type="dxa" w:w="1814"/>
            <w:shd w:val="clear" w:color="auto" w:fill="FFFFFF"/>
          </w:tcPr>
          <w:p>
            <w:r>
              <w:rPr>
                <w:rFonts w:ascii="Calibri" w:hAnsi="Calibri"/>
                <w:sz w:val="20"/>
              </w:rPr>
              <w:t>✓</w:t>
            </w:r>
          </w:p>
        </w:tc>
      </w:tr>
      <w:tr>
        <w:tc>
          <w:tcPr>
            <w:tcW w:type="dxa" w:w="1814"/>
            <w:shd w:val="clear" w:color="auto" w:fill="F9FAFB"/>
          </w:tcPr>
          <w:p>
            <w:r>
              <w:rPr>
                <w:rFonts w:ascii="Calibri" w:hAnsi="Calibri"/>
                <w:sz w:val="20"/>
              </w:rPr>
              <w:t>Delete team files</w:t>
            </w:r>
          </w:p>
        </w:tc>
        <w:tc>
          <w:tcPr>
            <w:tcW w:type="dxa" w:w="1814"/>
            <w:shd w:val="clear" w:color="auto" w:fill="F9FAFB"/>
          </w:tcPr>
          <w:p>
            <w:r>
              <w:rPr>
                <w:rFonts w:ascii="Calibri" w:hAnsi="Calibri"/>
                <w:sz w:val="20"/>
              </w:rPr>
              <w:t>✓</w:t>
            </w:r>
          </w:p>
        </w:tc>
        <w:tc>
          <w:tcPr>
            <w:tcW w:type="dxa" w:w="1814"/>
            <w:shd w:val="clear" w:color="auto" w:fill="F9FAFB"/>
          </w:tcPr>
          <w:p>
            <w:r>
              <w:rPr>
                <w:rFonts w:ascii="Calibri" w:hAnsi="Calibri"/>
                <w:sz w:val="20"/>
              </w:rPr>
              <w:t>✓</w:t>
            </w:r>
          </w:p>
        </w:tc>
        <w:tc>
          <w:tcPr>
            <w:tcW w:type="dxa" w:w="1814"/>
            <w:shd w:val="clear" w:color="auto" w:fill="F9FAFB"/>
          </w:tcPr>
          <w:p>
            <w:r>
              <w:rPr>
                <w:rFonts w:ascii="Calibri" w:hAnsi="Calibri"/>
                <w:sz w:val="20"/>
              </w:rPr>
              <w:t>—</w:t>
            </w:r>
          </w:p>
        </w:tc>
        <w:tc>
          <w:tcPr>
            <w:tcW w:type="dxa" w:w="1814"/>
            <w:shd w:val="clear" w:color="auto" w:fill="F9FAFB"/>
          </w:tcPr>
          <w:p>
            <w:r>
              <w:rPr>
                <w:rFonts w:ascii="Calibri" w:hAnsi="Calibri"/>
                <w:sz w:val="20"/>
              </w:rPr>
              <w:t>—</w:t>
            </w:r>
          </w:p>
        </w:tc>
      </w:tr>
      <w:tr>
        <w:tc>
          <w:tcPr>
            <w:tcW w:type="dxa" w:w="1814"/>
            <w:shd w:val="clear" w:color="auto" w:fill="FFFFFF"/>
          </w:tcPr>
          <w:p>
            <w:r>
              <w:rPr>
                <w:rFonts w:ascii="Calibri" w:hAnsi="Calibri"/>
                <w:sz w:val="20"/>
              </w:rPr>
              <w:t>Invite/remove members</w:t>
            </w:r>
          </w:p>
        </w:tc>
        <w:tc>
          <w:tcPr>
            <w:tcW w:type="dxa" w:w="1814"/>
            <w:shd w:val="clear" w:color="auto" w:fill="FFFFFF"/>
          </w:tcPr>
          <w:p>
            <w:r>
              <w:rPr>
                <w:rFonts w:ascii="Calibri" w:hAnsi="Calibri"/>
                <w:sz w:val="20"/>
              </w:rPr>
              <w:t>✓</w:t>
            </w:r>
          </w:p>
        </w:tc>
        <w:tc>
          <w:tcPr>
            <w:tcW w:type="dxa" w:w="1814"/>
            <w:shd w:val="clear" w:color="auto" w:fill="FFFFFF"/>
          </w:tcPr>
          <w:p>
            <w:r>
              <w:rPr>
                <w:rFonts w:ascii="Calibri" w:hAnsi="Calibri"/>
                <w:sz w:val="20"/>
              </w:rPr>
              <w:t>✓</w:t>
            </w:r>
          </w:p>
        </w:tc>
        <w:tc>
          <w:tcPr>
            <w:tcW w:type="dxa" w:w="1814"/>
            <w:shd w:val="clear" w:color="auto" w:fill="FFFFFF"/>
          </w:tcPr>
          <w:p>
            <w:r>
              <w:rPr>
                <w:rFonts w:ascii="Calibri" w:hAnsi="Calibri"/>
                <w:sz w:val="20"/>
              </w:rPr>
              <w:t>—</w:t>
            </w:r>
          </w:p>
        </w:tc>
        <w:tc>
          <w:tcPr>
            <w:tcW w:type="dxa" w:w="1814"/>
            <w:shd w:val="clear" w:color="auto" w:fill="FFFFFF"/>
          </w:tcPr>
          <w:p>
            <w:r>
              <w:rPr>
                <w:rFonts w:ascii="Calibri" w:hAnsi="Calibri"/>
                <w:sz w:val="20"/>
              </w:rPr>
              <w:t>—</w:t>
            </w:r>
          </w:p>
        </w:tc>
      </w:tr>
      <w:tr>
        <w:tc>
          <w:tcPr>
            <w:tcW w:type="dxa" w:w="1814"/>
            <w:shd w:val="clear" w:color="auto" w:fill="F9FAFB"/>
          </w:tcPr>
          <w:p>
            <w:r>
              <w:rPr>
                <w:rFonts w:ascii="Calibri" w:hAnsi="Calibri"/>
                <w:sz w:val="20"/>
              </w:rPr>
              <w:t>Change member roles</w:t>
            </w:r>
          </w:p>
        </w:tc>
        <w:tc>
          <w:tcPr>
            <w:tcW w:type="dxa" w:w="1814"/>
            <w:shd w:val="clear" w:color="auto" w:fill="F9FAFB"/>
          </w:tcPr>
          <w:p>
            <w:r>
              <w:rPr>
                <w:rFonts w:ascii="Calibri" w:hAnsi="Calibri"/>
                <w:sz w:val="20"/>
              </w:rPr>
              <w:t>✓</w:t>
            </w:r>
          </w:p>
        </w:tc>
        <w:tc>
          <w:tcPr>
            <w:tcW w:type="dxa" w:w="1814"/>
            <w:shd w:val="clear" w:color="auto" w:fill="F9FAFB"/>
          </w:tcPr>
          <w:p>
            <w:r>
              <w:rPr>
                <w:rFonts w:ascii="Calibri" w:hAnsi="Calibri"/>
                <w:sz w:val="20"/>
              </w:rPr>
              <w:t>—</w:t>
            </w:r>
          </w:p>
        </w:tc>
        <w:tc>
          <w:tcPr>
            <w:tcW w:type="dxa" w:w="1814"/>
            <w:shd w:val="clear" w:color="auto" w:fill="F9FAFB"/>
          </w:tcPr>
          <w:p>
            <w:r>
              <w:rPr>
                <w:rFonts w:ascii="Calibri" w:hAnsi="Calibri"/>
                <w:sz w:val="20"/>
              </w:rPr>
              <w:t>—</w:t>
            </w:r>
          </w:p>
        </w:tc>
        <w:tc>
          <w:tcPr>
            <w:tcW w:type="dxa" w:w="1814"/>
            <w:shd w:val="clear" w:color="auto" w:fill="F9FAFB"/>
          </w:tcPr>
          <w:p>
            <w:r>
              <w:rPr>
                <w:rFonts w:ascii="Calibri" w:hAnsi="Calibri"/>
                <w:sz w:val="20"/>
              </w:rPr>
              <w:t>—</w:t>
            </w:r>
          </w:p>
        </w:tc>
      </w:tr>
      <w:tr>
        <w:tc>
          <w:tcPr>
            <w:tcW w:type="dxa" w:w="1814"/>
            <w:shd w:val="clear" w:color="auto" w:fill="FFFFFF"/>
          </w:tcPr>
          <w:p>
            <w:r>
              <w:rPr>
                <w:rFonts w:ascii="Calibri" w:hAnsi="Calibri"/>
                <w:sz w:val="20"/>
              </w:rPr>
              <w:t>Manage billing</w:t>
            </w:r>
          </w:p>
        </w:tc>
        <w:tc>
          <w:tcPr>
            <w:tcW w:type="dxa" w:w="1814"/>
            <w:shd w:val="clear" w:color="auto" w:fill="FFFFFF"/>
          </w:tcPr>
          <w:p>
            <w:r>
              <w:rPr>
                <w:rFonts w:ascii="Calibri" w:hAnsi="Calibri"/>
                <w:sz w:val="20"/>
              </w:rPr>
              <w:t>✓</w:t>
            </w:r>
          </w:p>
        </w:tc>
        <w:tc>
          <w:tcPr>
            <w:tcW w:type="dxa" w:w="1814"/>
            <w:shd w:val="clear" w:color="auto" w:fill="FFFFFF"/>
          </w:tcPr>
          <w:p>
            <w:r>
              <w:rPr>
                <w:rFonts w:ascii="Calibri" w:hAnsi="Calibri"/>
                <w:sz w:val="20"/>
              </w:rPr>
              <w:t>—</w:t>
            </w:r>
          </w:p>
        </w:tc>
        <w:tc>
          <w:tcPr>
            <w:tcW w:type="dxa" w:w="1814"/>
            <w:shd w:val="clear" w:color="auto" w:fill="FFFFFF"/>
          </w:tcPr>
          <w:p>
            <w:r>
              <w:rPr>
                <w:rFonts w:ascii="Calibri" w:hAnsi="Calibri"/>
                <w:sz w:val="20"/>
              </w:rPr>
              <w:t>—</w:t>
            </w:r>
          </w:p>
        </w:tc>
        <w:tc>
          <w:tcPr>
            <w:tcW w:type="dxa" w:w="1814"/>
            <w:shd w:val="clear" w:color="auto" w:fill="FFFFFF"/>
          </w:tcPr>
          <w:p>
            <w:r>
              <w:rPr>
                <w:rFonts w:ascii="Calibri" w:hAnsi="Calibri"/>
                <w:sz w:val="20"/>
              </w:rPr>
              <w:t>—</w:t>
            </w:r>
          </w:p>
        </w:tc>
      </w:tr>
    </w:tbl>
    <w:p/>
    <w:p>
      <w:pPr>
        <w:pStyle w:val="Heading2"/>
      </w:pPr>
      <w:r>
        <w:rPr>
          <w:rFonts w:ascii="Calibri" w:hAnsi="Calibri"/>
          <w:b/>
          <w:color w:val="0D9488"/>
          <w:sz w:val="30"/>
        </w:rPr>
        <w:t>10.5  Publishing a Session to BCINexus Cloud</w:t>
      </w:r>
    </w:p>
    <w:p>
      <w:pPr>
        <w:pStyle w:val="ListBullet"/>
        <w:spacing w:after="60"/>
        <w:ind w:left="432"/>
      </w:pPr>
      <w:r>
        <w:rPr>
          <w:rFonts w:ascii="Calibri" w:hAnsi="Calibri"/>
          <w:b w:val="0"/>
          <w:i w:val="0"/>
          <w:sz w:val="21"/>
        </w:rPr>
        <w:t>Open the session panel → Publish to BCINexus.</w:t>
      </w:r>
    </w:p>
    <w:p>
      <w:pPr>
        <w:pStyle w:val="ListBullet"/>
        <w:spacing w:after="60"/>
        <w:ind w:left="432"/>
      </w:pPr>
      <w:r>
        <w:rPr>
          <w:rFonts w:ascii="Calibri" w:hAnsi="Calibri"/>
          <w:b w:val="0"/>
          <w:i w:val="0"/>
          <w:sz w:val="21"/>
        </w:rPr>
        <w:t>Choose visibility: Private (only you), Team, or Public (community library).</w:t>
      </w:r>
    </w:p>
    <w:p>
      <w:pPr>
        <w:pStyle w:val="ListBullet"/>
        <w:spacing w:after="60"/>
        <w:ind w:left="432"/>
      </w:pPr>
      <w:r>
        <w:rPr>
          <w:rFonts w:ascii="Calibri" w:hAnsi="Calibri"/>
          <w:b w:val="0"/>
          <w:i w:val="0"/>
          <w:sz w:val="21"/>
        </w:rPr>
        <w:t>Choose which components to publish: NeuralFlow, MLFlow, Workflow, Preprocessing, Results.</w:t>
      </w:r>
    </w:p>
    <w:p>
      <w:pPr>
        <w:pStyle w:val="ListBullet"/>
        <w:spacing w:after="60"/>
        <w:ind w:left="432"/>
      </w:pPr>
      <w:r>
        <w:rPr>
          <w:rFonts w:ascii="Calibri" w:hAnsi="Calibri"/>
          <w:b w:val="0"/>
          <w:i w:val="0"/>
          <w:sz w:val="21"/>
        </w:rPr>
        <w:t>Click Publish. A bcilattice:// share link is created.</w:t>
      </w:r>
    </w:p>
    <w:p>
      <w:pPr>
        <w:pStyle w:val="Heading2"/>
      </w:pPr>
      <w:r>
        <w:rPr>
          <w:rFonts w:ascii="Calibri" w:hAnsi="Calibri"/>
          <w:b/>
          <w:color w:val="0D9488"/>
          <w:sz w:val="30"/>
        </w:rPr>
        <w:t>10.6  Cloud Storage Quotas</w:t>
      </w:r>
    </w:p>
    <w:tbl>
      <w:tblPr>
        <w:tblStyle w:val="TableGrid"/>
        <w:tblW w:type="auto" w:w="0"/>
        <w:tblLook w:firstColumn="1" w:firstRow="1" w:lastColumn="0" w:lastRow="0" w:noHBand="0" w:noVBand="1" w:val="04A0"/>
      </w:tblPr>
      <w:tblGrid>
        <w:gridCol w:w="2268"/>
        <w:gridCol w:w="2268"/>
        <w:gridCol w:w="2268"/>
        <w:gridCol w:w="2268"/>
      </w:tblGrid>
      <w:tr>
        <w:tc>
          <w:tcPr>
            <w:tcW w:type="dxa" w:w="2268"/>
            <w:shd w:val="clear" w:color="auto" w:fill="0D9488"/>
          </w:tcPr>
          <w:p>
            <w:pPr>
              <w:jc w:val="center"/>
            </w:pPr>
            <w:r>
              <w:rPr>
                <w:rFonts w:ascii="Calibri" w:hAnsi="Calibri"/>
                <w:b/>
                <w:color w:val="FFFFFF"/>
                <w:sz w:val="20"/>
              </w:rPr>
              <w:t>Plan</w:t>
            </w:r>
          </w:p>
        </w:tc>
        <w:tc>
          <w:tcPr>
            <w:tcW w:type="dxa" w:w="2268"/>
            <w:shd w:val="clear" w:color="auto" w:fill="0D9488"/>
          </w:tcPr>
          <w:p>
            <w:pPr>
              <w:jc w:val="center"/>
            </w:pPr>
            <w:r>
              <w:rPr>
                <w:rFonts w:ascii="Calibri" w:hAnsi="Calibri"/>
                <w:b/>
                <w:color w:val="FFFFFF"/>
                <w:sz w:val="20"/>
              </w:rPr>
              <w:t>Storage</w:t>
            </w:r>
          </w:p>
        </w:tc>
        <w:tc>
          <w:tcPr>
            <w:tcW w:type="dxa" w:w="2268"/>
            <w:shd w:val="clear" w:color="auto" w:fill="0D9488"/>
          </w:tcPr>
          <w:p>
            <w:pPr>
              <w:jc w:val="center"/>
            </w:pPr>
            <w:r>
              <w:rPr>
                <w:rFonts w:ascii="Calibri" w:hAnsi="Calibri"/>
                <w:b/>
                <w:color w:val="FFFFFF"/>
                <w:sz w:val="20"/>
              </w:rPr>
              <w:t>Uploads/Month</w:t>
            </w:r>
          </w:p>
        </w:tc>
        <w:tc>
          <w:tcPr>
            <w:tcW w:type="dxa" w:w="2268"/>
            <w:shd w:val="clear" w:color="auto" w:fill="0D9488"/>
          </w:tcPr>
          <w:p>
            <w:pPr>
              <w:jc w:val="center"/>
            </w:pPr>
            <w:r>
              <w:rPr>
                <w:rFonts w:ascii="Calibri" w:hAnsi="Calibri"/>
                <w:b/>
                <w:color w:val="FFFFFF"/>
                <w:sz w:val="20"/>
              </w:rPr>
              <w:t>Max File Size</w:t>
            </w:r>
          </w:p>
        </w:tc>
      </w:tr>
      <w:tr>
        <w:tc>
          <w:tcPr>
            <w:tcW w:type="dxa" w:w="2268"/>
            <w:shd w:val="clear" w:color="auto" w:fill="F9FAFB"/>
          </w:tcPr>
          <w:p>
            <w:r>
              <w:rPr>
                <w:rFonts w:ascii="Calibri" w:hAnsi="Calibri"/>
                <w:sz w:val="20"/>
              </w:rPr>
              <w:t>Free</w:t>
            </w:r>
          </w:p>
        </w:tc>
        <w:tc>
          <w:tcPr>
            <w:tcW w:type="dxa" w:w="2268"/>
            <w:shd w:val="clear" w:color="auto" w:fill="F9FAFB"/>
          </w:tcPr>
          <w:p>
            <w:r>
              <w:rPr>
                <w:rFonts w:ascii="Calibri" w:hAnsi="Calibri"/>
                <w:sz w:val="20"/>
              </w:rPr>
              <w:t>500 MB</w:t>
            </w:r>
          </w:p>
        </w:tc>
        <w:tc>
          <w:tcPr>
            <w:tcW w:type="dxa" w:w="2268"/>
            <w:shd w:val="clear" w:color="auto" w:fill="F9FAFB"/>
          </w:tcPr>
          <w:p>
            <w:r>
              <w:rPr>
                <w:rFonts w:ascii="Calibri" w:hAnsi="Calibri"/>
                <w:sz w:val="20"/>
              </w:rPr>
              <w:t>1</w:t>
            </w:r>
          </w:p>
        </w:tc>
        <w:tc>
          <w:tcPr>
            <w:tcW w:type="dxa" w:w="2268"/>
            <w:shd w:val="clear" w:color="auto" w:fill="F9FAFB"/>
          </w:tcPr>
          <w:p>
            <w:r>
              <w:rPr>
                <w:rFonts w:ascii="Calibri" w:hAnsi="Calibri"/>
                <w:sz w:val="20"/>
              </w:rPr>
              <w:t>100 MB</w:t>
            </w:r>
          </w:p>
        </w:tc>
      </w:tr>
      <w:tr>
        <w:tc>
          <w:tcPr>
            <w:tcW w:type="dxa" w:w="2268"/>
            <w:shd w:val="clear" w:color="auto" w:fill="FFFFFF"/>
          </w:tcPr>
          <w:p>
            <w:r>
              <w:rPr>
                <w:rFonts w:ascii="Calibri" w:hAnsi="Calibri"/>
                <w:sz w:val="20"/>
              </w:rPr>
              <w:t>Researcher</w:t>
            </w:r>
          </w:p>
        </w:tc>
        <w:tc>
          <w:tcPr>
            <w:tcW w:type="dxa" w:w="2268"/>
            <w:shd w:val="clear" w:color="auto" w:fill="FFFFFF"/>
          </w:tcPr>
          <w:p>
            <w:r>
              <w:rPr>
                <w:rFonts w:ascii="Calibri" w:hAnsi="Calibri"/>
                <w:sz w:val="20"/>
              </w:rPr>
              <w:t>10 GB</w:t>
            </w:r>
          </w:p>
        </w:tc>
        <w:tc>
          <w:tcPr>
            <w:tcW w:type="dxa" w:w="2268"/>
            <w:shd w:val="clear" w:color="auto" w:fill="FFFFFF"/>
          </w:tcPr>
          <w:p>
            <w:r>
              <w:rPr>
                <w:rFonts w:ascii="Calibri" w:hAnsi="Calibri"/>
                <w:sz w:val="20"/>
              </w:rPr>
              <w:t>5</w:t>
            </w:r>
          </w:p>
        </w:tc>
        <w:tc>
          <w:tcPr>
            <w:tcW w:type="dxa" w:w="2268"/>
            <w:shd w:val="clear" w:color="auto" w:fill="FFFFFF"/>
          </w:tcPr>
          <w:p>
            <w:r>
              <w:rPr>
                <w:rFonts w:ascii="Calibri" w:hAnsi="Calibri"/>
                <w:sz w:val="20"/>
              </w:rPr>
              <w:t>1 GB</w:t>
            </w:r>
          </w:p>
        </w:tc>
      </w:tr>
      <w:tr>
        <w:tc>
          <w:tcPr>
            <w:tcW w:type="dxa" w:w="2268"/>
            <w:shd w:val="clear" w:color="auto" w:fill="F9FAFB"/>
          </w:tcPr>
          <w:p>
            <w:r>
              <w:rPr>
                <w:rFonts w:ascii="Calibri" w:hAnsi="Calibri"/>
                <w:sz w:val="20"/>
              </w:rPr>
              <w:t>Lab</w:t>
            </w:r>
          </w:p>
        </w:tc>
        <w:tc>
          <w:tcPr>
            <w:tcW w:type="dxa" w:w="2268"/>
            <w:shd w:val="clear" w:color="auto" w:fill="F9FAFB"/>
          </w:tcPr>
          <w:p>
            <w:r>
              <w:rPr>
                <w:rFonts w:ascii="Calibri" w:hAnsi="Calibri"/>
                <w:sz w:val="20"/>
              </w:rPr>
              <w:t>50 GB</w:t>
            </w:r>
          </w:p>
        </w:tc>
        <w:tc>
          <w:tcPr>
            <w:tcW w:type="dxa" w:w="2268"/>
            <w:shd w:val="clear" w:color="auto" w:fill="F9FAFB"/>
          </w:tcPr>
          <w:p>
            <w:r>
              <w:rPr>
                <w:rFonts w:ascii="Calibri" w:hAnsi="Calibri"/>
                <w:sz w:val="20"/>
              </w:rPr>
              <w:t>50</w:t>
            </w:r>
          </w:p>
        </w:tc>
        <w:tc>
          <w:tcPr>
            <w:tcW w:type="dxa" w:w="2268"/>
            <w:shd w:val="clear" w:color="auto" w:fill="F9FAFB"/>
          </w:tcPr>
          <w:p>
            <w:r>
              <w:rPr>
                <w:rFonts w:ascii="Calibri" w:hAnsi="Calibri"/>
                <w:sz w:val="20"/>
              </w:rPr>
              <w:t>5 GB</w:t>
            </w:r>
          </w:p>
        </w:tc>
      </w:tr>
      <w:tr>
        <w:tc>
          <w:tcPr>
            <w:tcW w:type="dxa" w:w="2268"/>
            <w:shd w:val="clear" w:color="auto" w:fill="FFFFFF"/>
          </w:tcPr>
          <w:p>
            <w:r>
              <w:rPr>
                <w:rFonts w:ascii="Calibri" w:hAnsi="Calibri"/>
                <w:sz w:val="20"/>
              </w:rPr>
              <w:t>Institution</w:t>
            </w:r>
          </w:p>
        </w:tc>
        <w:tc>
          <w:tcPr>
            <w:tcW w:type="dxa" w:w="2268"/>
            <w:shd w:val="clear" w:color="auto" w:fill="FFFFFF"/>
          </w:tcPr>
          <w:p>
            <w:r>
              <w:rPr>
                <w:rFonts w:ascii="Calibri" w:hAnsi="Calibri"/>
                <w:sz w:val="20"/>
              </w:rPr>
              <w:t>Custom</w:t>
            </w:r>
          </w:p>
        </w:tc>
        <w:tc>
          <w:tcPr>
            <w:tcW w:type="dxa" w:w="2268"/>
            <w:shd w:val="clear" w:color="auto" w:fill="FFFFFF"/>
          </w:tcPr>
          <w:p>
            <w:r>
              <w:rPr>
                <w:rFonts w:ascii="Calibri" w:hAnsi="Calibri"/>
                <w:sz w:val="20"/>
              </w:rPr>
              <w:t>Unlimited</w:t>
            </w:r>
          </w:p>
        </w:tc>
        <w:tc>
          <w:tcPr>
            <w:tcW w:type="dxa" w:w="2268"/>
            <w:shd w:val="clear" w:color="auto" w:fill="FFFFFF"/>
          </w:tcPr>
          <w:p>
            <w:r>
              <w:rPr>
                <w:rFonts w:ascii="Calibri" w:hAnsi="Calibri"/>
                <w:sz w:val="20"/>
              </w:rPr>
              <w:t>25 GB</w:t>
            </w:r>
          </w:p>
        </w:tc>
      </w:tr>
      <w:tr>
        <w:tc>
          <w:tcPr>
            <w:tcW w:type="dxa" w:w="2268"/>
            <w:shd w:val="clear" w:color="auto" w:fill="F9FAFB"/>
          </w:tcPr>
          <w:p>
            <w:r>
              <w:rPr>
                <w:rFonts w:ascii="Calibri" w:hAnsi="Calibri"/>
                <w:sz w:val="20"/>
              </w:rPr>
              <w:t>Enterprise</w:t>
            </w:r>
          </w:p>
        </w:tc>
        <w:tc>
          <w:tcPr>
            <w:tcW w:type="dxa" w:w="2268"/>
            <w:shd w:val="clear" w:color="auto" w:fill="F9FAFB"/>
          </w:tcPr>
          <w:p>
            <w:r>
              <w:rPr>
                <w:rFonts w:ascii="Calibri" w:hAnsi="Calibri"/>
                <w:sz w:val="20"/>
              </w:rPr>
              <w:t>Unlimited</w:t>
            </w:r>
          </w:p>
        </w:tc>
        <w:tc>
          <w:tcPr>
            <w:tcW w:type="dxa" w:w="2268"/>
            <w:shd w:val="clear" w:color="auto" w:fill="F9FAFB"/>
          </w:tcPr>
          <w:p>
            <w:r>
              <w:rPr>
                <w:rFonts w:ascii="Calibri" w:hAnsi="Calibri"/>
                <w:sz w:val="20"/>
              </w:rPr>
              <w:t>Unlimited</w:t>
            </w:r>
          </w:p>
        </w:tc>
        <w:tc>
          <w:tcPr>
            <w:tcW w:type="dxa" w:w="2268"/>
            <w:shd w:val="clear" w:color="auto" w:fill="F9FAFB"/>
          </w:tcPr>
          <w:p>
            <w:r>
              <w:rPr>
                <w:rFonts w:ascii="Calibri" w:hAnsi="Calibri"/>
                <w:sz w:val="20"/>
              </w:rPr>
              <w:t>Unlimited</w:t>
            </w:r>
          </w:p>
        </w:tc>
      </w:tr>
    </w:tbl>
    <w:p/>
    <w:p>
      <w:r>
        <w:br w:type="page"/>
      </w:r>
    </w:p>
    <w:p>
      <w:pPr>
        <w:pStyle w:val="Heading1"/>
      </w:pPr>
      <w:r>
        <w:rPr>
          <w:rFonts w:ascii="Calibri" w:hAnsi="Calibri"/>
          <w:b/>
          <w:color w:val="C084FC"/>
          <w:sz w:val="40"/>
        </w:rPr>
        <w:t>11. AI Research Assistant</w:t>
      </w:r>
    </w:p>
    <w:p>
      <w:pPr>
        <w:spacing w:after="120"/>
      </w:pPr>
      <w:r>
        <w:rPr>
          <w:rFonts w:ascii="Calibri" w:hAnsi="Calibri"/>
          <w:b w:val="0"/>
          <w:i w:val="0"/>
          <w:sz w:val="22"/>
        </w:rPr>
        <w:t>The AI Chat module lets you ask research questions about your loaded datasets and pipeline results using large language models (LLMs). BCILattice supports GPT-4o (OpenAI), Gemini (Google), and Claude (Anthropic). All models are accessed using your own API key — no costs are passed through BCINexus.</w:t>
      </w:r>
    </w:p>
    <w:p>
      <w:pPr>
        <w:pStyle w:val="Heading2"/>
      </w:pPr>
      <w:r>
        <w:rPr>
          <w:rFonts w:ascii="Calibri" w:hAnsi="Calibri"/>
          <w:b/>
          <w:color w:val="0D9488"/>
          <w:sz w:val="30"/>
        </w:rPr>
        <w:t>11.1  Setting Up (BYOK — Bring Your Own Key)</w:t>
      </w:r>
    </w:p>
    <w:p>
      <w:pPr>
        <w:pStyle w:val="ListBullet"/>
        <w:spacing w:after="60"/>
        <w:ind w:left="432"/>
      </w:pPr>
      <w:r>
        <w:rPr>
          <w:rFonts w:ascii="Calibri" w:hAnsi="Calibri"/>
          <w:b w:val="0"/>
          <w:i w:val="0"/>
          <w:sz w:val="21"/>
        </w:rPr>
        <w:t>Go to Settings → AI Chat.</w:t>
      </w:r>
    </w:p>
    <w:p>
      <w:pPr>
        <w:pStyle w:val="ListBullet"/>
        <w:spacing w:after="60"/>
        <w:ind w:left="432"/>
      </w:pPr>
      <w:r>
        <w:rPr>
          <w:rFonts w:ascii="Calibri" w:hAnsi="Calibri"/>
          <w:b w:val="0"/>
          <w:i w:val="0"/>
          <w:sz w:val="21"/>
        </w:rPr>
        <w:t>Enter your API key for the provider(s) you want to use.</w:t>
      </w:r>
    </w:p>
    <w:p>
      <w:pPr>
        <w:pStyle w:val="ListBullet"/>
        <w:spacing w:after="60"/>
        <w:ind w:left="432"/>
      </w:pPr>
      <w:r>
        <w:rPr>
          <w:rFonts w:ascii="Calibri" w:hAnsi="Calibri"/>
          <w:b w:val="0"/>
          <w:i w:val="0"/>
          <w:sz w:val="21"/>
        </w:rPr>
        <w:t>Keys are stored locally on your machine and never transmitted to BCINexus.</w:t>
      </w:r>
    </w:p>
    <w:p>
      <w:pPr>
        <w:pStyle w:val="Heading2"/>
      </w:pPr>
      <w:r>
        <w:rPr>
          <w:rFonts w:ascii="Calibri" w:hAnsi="Calibri"/>
          <w:b/>
          <w:color w:val="0D9488"/>
          <w:sz w:val="30"/>
        </w:rPr>
        <w:t>11.2  Using the AI Assistant</w:t>
      </w:r>
    </w:p>
    <w:p>
      <w:pPr>
        <w:pStyle w:val="ListBullet"/>
        <w:spacing w:after="60"/>
        <w:ind w:left="432"/>
      </w:pPr>
      <w:r>
        <w:rPr>
          <w:rFonts w:ascii="Calibri" w:hAnsi="Calibri"/>
          <w:b w:val="0"/>
          <w:i w:val="0"/>
          <w:sz w:val="21"/>
        </w:rPr>
        <w:t>Click AI Chat in the left sidebar.</w:t>
      </w:r>
    </w:p>
    <w:p>
      <w:pPr>
        <w:pStyle w:val="ListBullet"/>
        <w:spacing w:after="60"/>
        <w:ind w:left="432"/>
      </w:pPr>
      <w:r>
        <w:rPr>
          <w:rFonts w:ascii="Calibri" w:hAnsi="Calibri"/>
          <w:b w:val="0"/>
          <w:i w:val="0"/>
          <w:sz w:val="21"/>
        </w:rPr>
        <w:t>Type your question in the chat input. Examples:</w:t>
      </w:r>
    </w:p>
    <w:p>
      <w:pPr>
        <w:pStyle w:val="ListBullet"/>
        <w:spacing w:after="60"/>
        <w:ind w:left="792"/>
      </w:pPr>
      <w:r>
        <w:rPr>
          <w:rFonts w:ascii="Calibri" w:hAnsi="Calibri"/>
          <w:b w:val="0"/>
          <w:i w:val="0"/>
          <w:sz w:val="21"/>
        </w:rPr>
        <w:t xml:space="preserve">  'Which channels showed the highest t-value scores in the last channel selection run?'</w:t>
      </w:r>
    </w:p>
    <w:p>
      <w:pPr>
        <w:pStyle w:val="ListBullet"/>
        <w:spacing w:after="60"/>
        <w:ind w:left="792"/>
      </w:pPr>
      <w:r>
        <w:rPr>
          <w:rFonts w:ascii="Calibri" w:hAnsi="Calibri"/>
          <w:b w:val="0"/>
          <w:i w:val="0"/>
          <w:sz w:val="21"/>
        </w:rPr>
        <w:t xml:space="preserve">  'Suggest preprocessing parameters for a 64-channel fNIRS working memory study.'</w:t>
      </w:r>
    </w:p>
    <w:p>
      <w:pPr>
        <w:pStyle w:val="ListBullet"/>
        <w:spacing w:after="60"/>
        <w:ind w:left="792"/>
      </w:pPr>
      <w:r>
        <w:rPr>
          <w:rFonts w:ascii="Calibri" w:hAnsi="Calibri"/>
          <w:b w:val="0"/>
          <w:i w:val="0"/>
          <w:sz w:val="21"/>
        </w:rPr>
        <w:t xml:space="preserve">  'Explain the FBCSP algorithm in plain language.'</w:t>
      </w:r>
    </w:p>
    <w:p>
      <w:pPr>
        <w:pStyle w:val="ListBullet"/>
        <w:spacing w:after="60"/>
        <w:ind w:left="432"/>
      </w:pPr>
      <w:r>
        <w:rPr>
          <w:rFonts w:ascii="Calibri" w:hAnsi="Calibri"/>
          <w:b w:val="0"/>
          <w:i w:val="0"/>
          <w:sz w:val="21"/>
        </w:rPr>
        <w:t>BCILattice passes a summary of your current session data as context (RAG) with each message.</w:t>
      </w:r>
    </w:p>
    <w:p>
      <w:pPr>
        <w:pStyle w:val="ListBullet"/>
        <w:spacing w:after="60"/>
        <w:ind w:left="432"/>
      </w:pPr>
      <w:r>
        <w:rPr>
          <w:rFonts w:ascii="Calibri" w:hAnsi="Calibri"/>
          <w:b w:val="0"/>
          <w:i w:val="0"/>
          <w:sz w:val="21"/>
        </w:rPr>
        <w:t>Chat history is saved between sessions.</w:t>
      </w:r>
    </w:p>
    <w:p>
      <w:pPr>
        <w:pStyle w:val="Heading2"/>
      </w:pPr>
      <w:r>
        <w:rPr>
          <w:rFonts w:ascii="Calibri" w:hAnsi="Calibri"/>
          <w:b/>
          <w:color w:val="0D9488"/>
          <w:sz w:val="30"/>
        </w:rPr>
        <w:t>11.3  Privacy Note</w:t>
      </w:r>
    </w:p>
    <w:p>
      <w:pPr>
        <w:spacing w:before="80" w:after="160"/>
        <w:ind w:left="432" w:right="432"/>
      </w:pPr>
      <w:r>
        <w:rPr>
          <w:rFonts w:ascii="Calibri" w:hAnsi="Calibri"/>
          <w:b w:val="0"/>
          <w:i/>
          <w:color w:val="0D9488"/>
          <w:sz w:val="20"/>
        </w:rPr>
        <w:t>ℹ  The message you type — including the session context summary — is sent to the LLM provider (OpenAI, Google, or Anthropic) using your API key. Raw dataset contents are never included. Review your LLM provider's privacy policy for their data handling terms.</w:t>
      </w:r>
    </w:p>
    <w:p>
      <w:r>
        <w:br w:type="page"/>
      </w:r>
    </w:p>
    <w:p>
      <w:pPr>
        <w:pStyle w:val="Heading1"/>
      </w:pPr>
      <w:r>
        <w:rPr>
          <w:rFonts w:ascii="Calibri" w:hAnsi="Calibri"/>
          <w:b/>
          <w:color w:val="C084FC"/>
          <w:sz w:val="40"/>
        </w:rPr>
        <w:t>12. BCINexus Pipeline Library</w:t>
      </w:r>
    </w:p>
    <w:p>
      <w:pPr>
        <w:spacing w:after="120"/>
      </w:pPr>
      <w:r>
        <w:rPr>
          <w:rFonts w:ascii="Calibri" w:hAnsi="Calibri"/>
          <w:b w:val="0"/>
          <w:i w:val="0"/>
          <w:sz w:val="22"/>
        </w:rPr>
        <w:t>The BCINexus community library contains 340+ published BCI research pipelines contributed by researchers worldwide. All pipelines are free to browse and import.</w:t>
      </w:r>
    </w:p>
    <w:p>
      <w:pPr>
        <w:pStyle w:val="Heading2"/>
      </w:pPr>
      <w:r>
        <w:rPr>
          <w:rFonts w:ascii="Calibri" w:hAnsi="Calibri"/>
          <w:b/>
          <w:color w:val="0D9488"/>
          <w:sz w:val="30"/>
        </w:rPr>
        <w:t>12.1  Browsing the Library</w:t>
      </w:r>
    </w:p>
    <w:p>
      <w:pPr>
        <w:pStyle w:val="ListBullet"/>
        <w:spacing w:after="60"/>
        <w:ind w:left="432"/>
      </w:pPr>
      <w:r>
        <w:rPr>
          <w:rFonts w:ascii="Calibri" w:hAnsi="Calibri"/>
          <w:b w:val="0"/>
          <w:i w:val="0"/>
          <w:sz w:val="21"/>
        </w:rPr>
        <w:t>Go to bcinexus.io/pipelines in a web browser.</w:t>
      </w:r>
    </w:p>
    <w:p>
      <w:pPr>
        <w:pStyle w:val="ListBullet"/>
        <w:spacing w:after="60"/>
        <w:ind w:left="432"/>
      </w:pPr>
      <w:r>
        <w:rPr>
          <w:rFonts w:ascii="Calibri" w:hAnsi="Calibri"/>
          <w:b w:val="0"/>
          <w:i w:val="0"/>
          <w:sz w:val="21"/>
        </w:rPr>
        <w:t>Filter by: Modality (EEG / fNIRS / EMG), Task type, Institution, Tags.</w:t>
      </w:r>
    </w:p>
    <w:p>
      <w:pPr>
        <w:pStyle w:val="ListBullet"/>
        <w:spacing w:after="60"/>
        <w:ind w:left="432"/>
      </w:pPr>
      <w:r>
        <w:rPr>
          <w:rFonts w:ascii="Calibri" w:hAnsi="Calibri"/>
          <w:b w:val="0"/>
          <w:i w:val="0"/>
          <w:sz w:val="21"/>
        </w:rPr>
        <w:t>Sort by: Download count, Reported accuracy, Publication date.</w:t>
      </w:r>
    </w:p>
    <w:p>
      <w:pPr>
        <w:pStyle w:val="ListBullet"/>
        <w:spacing w:after="60"/>
        <w:ind w:left="432"/>
      </w:pPr>
      <w:r>
        <w:rPr>
          <w:rFonts w:ascii="Calibri" w:hAnsi="Calibri"/>
          <w:b w:val="0"/>
          <w:i w:val="0"/>
          <w:sz w:val="21"/>
        </w:rPr>
        <w:t>Each pipeline card shows: author, institution, modality, best accuracy, download count.</w:t>
      </w:r>
    </w:p>
    <w:p>
      <w:pPr>
        <w:pStyle w:val="Heading2"/>
      </w:pPr>
      <w:r>
        <w:rPr>
          <w:rFonts w:ascii="Calibri" w:hAnsi="Calibri"/>
          <w:b/>
          <w:color w:val="0D9488"/>
          <w:sz w:val="30"/>
        </w:rPr>
        <w:t>12.2  Importing a Pipeline into BCILattice</w:t>
      </w:r>
    </w:p>
    <w:p>
      <w:pPr>
        <w:pStyle w:val="ListBullet"/>
        <w:spacing w:after="60"/>
        <w:ind w:left="432"/>
      </w:pPr>
      <w:r>
        <w:rPr>
          <w:rFonts w:ascii="Calibri" w:hAnsi="Calibri"/>
          <w:b w:val="0"/>
          <w:i w:val="0"/>
          <w:sz w:val="21"/>
        </w:rPr>
        <w:t>Click Import into BCILattice on any pipeline page.</w:t>
      </w:r>
    </w:p>
    <w:p>
      <w:pPr>
        <w:pStyle w:val="ListBullet"/>
        <w:spacing w:after="60"/>
        <w:ind w:left="432"/>
      </w:pPr>
      <w:r>
        <w:rPr>
          <w:rFonts w:ascii="Calibri" w:hAnsi="Calibri"/>
          <w:b w:val="0"/>
          <w:i w:val="0"/>
          <w:sz w:val="21"/>
        </w:rPr>
        <w:t>A bcilattice:// deep link opens BCILattice automatically.</w:t>
      </w:r>
    </w:p>
    <w:p>
      <w:pPr>
        <w:pStyle w:val="ListBullet"/>
        <w:spacing w:after="60"/>
        <w:ind w:left="432"/>
      </w:pPr>
      <w:r>
        <w:rPr>
          <w:rFonts w:ascii="Calibri" w:hAnsi="Calibri"/>
          <w:b w:val="0"/>
          <w:i w:val="0"/>
          <w:sz w:val="21"/>
        </w:rPr>
        <w:t>A dialog shows which components are available to import: NeuralFlow, MLFlow, Workflow, Preprocessing.</w:t>
      </w:r>
    </w:p>
    <w:p>
      <w:pPr>
        <w:pStyle w:val="ListBullet"/>
        <w:spacing w:after="60"/>
        <w:ind w:left="432"/>
      </w:pPr>
      <w:r>
        <w:rPr>
          <w:rFonts w:ascii="Calibri" w:hAnsi="Calibri"/>
          <w:b w:val="0"/>
          <w:i w:val="0"/>
          <w:sz w:val="21"/>
        </w:rPr>
        <w:t>Select the components you want and click Import.</w:t>
      </w:r>
    </w:p>
    <w:p>
      <w:pPr>
        <w:pStyle w:val="ListBullet"/>
        <w:spacing w:after="60"/>
        <w:ind w:left="432"/>
      </w:pPr>
      <w:r>
        <w:rPr>
          <w:rFonts w:ascii="Calibri" w:hAnsi="Calibri"/>
          <w:b w:val="0"/>
          <w:i w:val="0"/>
          <w:sz w:val="21"/>
        </w:rPr>
        <w:t>The imported components appear in their respective modules, ready to use or customise.</w:t>
      </w:r>
    </w:p>
    <w:p>
      <w:pPr>
        <w:pStyle w:val="Heading2"/>
      </w:pPr>
      <w:r>
        <w:rPr>
          <w:rFonts w:ascii="Calibri" w:hAnsi="Calibri"/>
          <w:b/>
          <w:color w:val="0D9488"/>
          <w:sz w:val="30"/>
        </w:rPr>
        <w:t>12.3  Publishing Your Own Pipeline</w:t>
      </w:r>
    </w:p>
    <w:p>
      <w:pPr>
        <w:pStyle w:val="ListBullet"/>
        <w:spacing w:after="60"/>
        <w:ind w:left="432"/>
      </w:pPr>
      <w:r>
        <w:rPr>
          <w:rFonts w:ascii="Calibri" w:hAnsi="Calibri"/>
          <w:b w:val="0"/>
          <w:i w:val="0"/>
          <w:sz w:val="21"/>
        </w:rPr>
        <w:t>Open the session panel → Publish to BCINexus → set visibility to Public.</w:t>
      </w:r>
    </w:p>
    <w:p>
      <w:pPr>
        <w:pStyle w:val="ListBullet"/>
        <w:spacing w:after="60"/>
        <w:ind w:left="432"/>
      </w:pPr>
      <w:r>
        <w:rPr>
          <w:rFonts w:ascii="Calibri" w:hAnsi="Calibri"/>
          <w:b w:val="0"/>
          <w:i w:val="0"/>
          <w:sz w:val="21"/>
        </w:rPr>
        <w:t>Add a description, accuracy results, and tags.</w:t>
      </w:r>
    </w:p>
    <w:p>
      <w:pPr>
        <w:pStyle w:val="ListBullet"/>
        <w:spacing w:after="60"/>
        <w:ind w:left="432"/>
      </w:pPr>
      <w:r>
        <w:rPr>
          <w:rFonts w:ascii="Calibri" w:hAnsi="Calibri"/>
          <w:b w:val="0"/>
          <w:i w:val="0"/>
          <w:sz w:val="21"/>
        </w:rPr>
        <w:t>Click Publish. After a brief review, your pipeline appears in the community library.</w:t>
      </w:r>
    </w:p>
    <w:p>
      <w:pPr>
        <w:pStyle w:val="ListBullet"/>
        <w:spacing w:after="60"/>
        <w:ind w:left="432"/>
      </w:pPr>
      <w:r>
        <w:rPr>
          <w:rFonts w:ascii="Calibri" w:hAnsi="Calibri"/>
          <w:b w:val="0"/>
          <w:i w:val="0"/>
          <w:sz w:val="21"/>
        </w:rPr>
        <w:t>Published pipelines are licensed under Creative Commons Attribution 4.0 (CC BY 4.0) by default.</w:t>
      </w:r>
    </w:p>
    <w:p>
      <w:r>
        <w:br w:type="page"/>
      </w:r>
    </w:p>
    <w:p>
      <w:pPr>
        <w:pStyle w:val="Heading1"/>
      </w:pPr>
      <w:r>
        <w:rPr>
          <w:rFonts w:ascii="Calibri" w:hAnsi="Calibri"/>
          <w:b/>
          <w:color w:val="C084FC"/>
          <w:sz w:val="40"/>
        </w:rPr>
        <w:t>13. Keyboard Shortcuts</w:t>
      </w:r>
    </w:p>
    <w:tbl>
      <w:tblPr>
        <w:tblStyle w:val="TableGrid"/>
        <w:tblW w:type="auto" w:w="0"/>
        <w:tblLook w:firstColumn="1" w:firstRow="1" w:lastColumn="0" w:lastRow="0" w:noHBand="0" w:noVBand="1" w:val="04A0"/>
      </w:tblPr>
      <w:tblGrid>
        <w:gridCol w:w="3024"/>
        <w:gridCol w:w="3024"/>
        <w:gridCol w:w="3024"/>
      </w:tblGrid>
      <w:tr>
        <w:tc>
          <w:tcPr>
            <w:tcW w:type="dxa" w:w="3024"/>
            <w:shd w:val="clear" w:color="auto" w:fill="0D9488"/>
          </w:tcPr>
          <w:p>
            <w:pPr>
              <w:jc w:val="center"/>
            </w:pPr>
            <w:r>
              <w:rPr>
                <w:rFonts w:ascii="Calibri" w:hAnsi="Calibri"/>
                <w:b/>
                <w:color w:val="FFFFFF"/>
                <w:sz w:val="20"/>
              </w:rPr>
              <w:t>Action</w:t>
            </w:r>
          </w:p>
        </w:tc>
        <w:tc>
          <w:tcPr>
            <w:tcW w:type="dxa" w:w="3024"/>
            <w:shd w:val="clear" w:color="auto" w:fill="0D9488"/>
          </w:tcPr>
          <w:p>
            <w:pPr>
              <w:jc w:val="center"/>
            </w:pPr>
            <w:r>
              <w:rPr>
                <w:rFonts w:ascii="Calibri" w:hAnsi="Calibri"/>
                <w:b/>
                <w:color w:val="FFFFFF"/>
                <w:sz w:val="20"/>
              </w:rPr>
              <w:t>Windows / Linux</w:t>
            </w:r>
          </w:p>
        </w:tc>
        <w:tc>
          <w:tcPr>
            <w:tcW w:type="dxa" w:w="3024"/>
            <w:shd w:val="clear" w:color="auto" w:fill="0D9488"/>
          </w:tcPr>
          <w:p>
            <w:pPr>
              <w:jc w:val="center"/>
            </w:pPr>
            <w:r>
              <w:rPr>
                <w:rFonts w:ascii="Calibri" w:hAnsi="Calibri"/>
                <w:b/>
                <w:color w:val="FFFFFF"/>
                <w:sz w:val="20"/>
              </w:rPr>
              <w:t>macOS</w:t>
            </w:r>
          </w:p>
        </w:tc>
      </w:tr>
      <w:tr>
        <w:tc>
          <w:tcPr>
            <w:tcW w:type="dxa" w:w="3024"/>
            <w:shd w:val="clear" w:color="auto" w:fill="F9FAFB"/>
          </w:tcPr>
          <w:p>
            <w:r>
              <w:rPr>
                <w:rFonts w:ascii="Calibri" w:hAnsi="Calibri"/>
                <w:sz w:val="20"/>
              </w:rPr>
              <w:t>New session</w:t>
            </w:r>
          </w:p>
        </w:tc>
        <w:tc>
          <w:tcPr>
            <w:tcW w:type="dxa" w:w="3024"/>
            <w:shd w:val="clear" w:color="auto" w:fill="F9FAFB"/>
          </w:tcPr>
          <w:p>
            <w:r>
              <w:rPr>
                <w:rFonts w:ascii="Calibri" w:hAnsi="Calibri"/>
                <w:sz w:val="20"/>
              </w:rPr>
              <w:t>Ctrl + N</w:t>
            </w:r>
          </w:p>
        </w:tc>
        <w:tc>
          <w:tcPr>
            <w:tcW w:type="dxa" w:w="3024"/>
            <w:shd w:val="clear" w:color="auto" w:fill="F9FAFB"/>
          </w:tcPr>
          <w:p>
            <w:r>
              <w:rPr>
                <w:rFonts w:ascii="Calibri" w:hAnsi="Calibri"/>
                <w:sz w:val="20"/>
              </w:rPr>
              <w:t>Cmd + N</w:t>
            </w:r>
          </w:p>
        </w:tc>
      </w:tr>
      <w:tr>
        <w:tc>
          <w:tcPr>
            <w:tcW w:type="dxa" w:w="3024"/>
            <w:shd w:val="clear" w:color="auto" w:fill="FFFFFF"/>
          </w:tcPr>
          <w:p>
            <w:r>
              <w:rPr>
                <w:rFonts w:ascii="Calibri" w:hAnsi="Calibri"/>
                <w:sz w:val="20"/>
              </w:rPr>
              <w:t>Open session</w:t>
            </w:r>
          </w:p>
        </w:tc>
        <w:tc>
          <w:tcPr>
            <w:tcW w:type="dxa" w:w="3024"/>
            <w:shd w:val="clear" w:color="auto" w:fill="FFFFFF"/>
          </w:tcPr>
          <w:p>
            <w:r>
              <w:rPr>
                <w:rFonts w:ascii="Calibri" w:hAnsi="Calibri"/>
                <w:sz w:val="20"/>
              </w:rPr>
              <w:t>Ctrl + O</w:t>
            </w:r>
          </w:p>
        </w:tc>
        <w:tc>
          <w:tcPr>
            <w:tcW w:type="dxa" w:w="3024"/>
            <w:shd w:val="clear" w:color="auto" w:fill="FFFFFF"/>
          </w:tcPr>
          <w:p>
            <w:r>
              <w:rPr>
                <w:rFonts w:ascii="Calibri" w:hAnsi="Calibri"/>
                <w:sz w:val="20"/>
              </w:rPr>
              <w:t>Cmd + O</w:t>
            </w:r>
          </w:p>
        </w:tc>
      </w:tr>
      <w:tr>
        <w:tc>
          <w:tcPr>
            <w:tcW w:type="dxa" w:w="3024"/>
            <w:shd w:val="clear" w:color="auto" w:fill="F9FAFB"/>
          </w:tcPr>
          <w:p>
            <w:r>
              <w:rPr>
                <w:rFonts w:ascii="Calibri" w:hAnsi="Calibri"/>
                <w:sz w:val="20"/>
              </w:rPr>
              <w:t>Save session</w:t>
            </w:r>
          </w:p>
        </w:tc>
        <w:tc>
          <w:tcPr>
            <w:tcW w:type="dxa" w:w="3024"/>
            <w:shd w:val="clear" w:color="auto" w:fill="F9FAFB"/>
          </w:tcPr>
          <w:p>
            <w:r>
              <w:rPr>
                <w:rFonts w:ascii="Calibri" w:hAnsi="Calibri"/>
                <w:sz w:val="20"/>
              </w:rPr>
              <w:t>Ctrl + S</w:t>
            </w:r>
          </w:p>
        </w:tc>
        <w:tc>
          <w:tcPr>
            <w:tcW w:type="dxa" w:w="3024"/>
            <w:shd w:val="clear" w:color="auto" w:fill="F9FAFB"/>
          </w:tcPr>
          <w:p>
            <w:r>
              <w:rPr>
                <w:rFonts w:ascii="Calibri" w:hAnsi="Calibri"/>
                <w:sz w:val="20"/>
              </w:rPr>
              <w:t>Cmd + S</w:t>
            </w:r>
          </w:p>
        </w:tc>
      </w:tr>
      <w:tr>
        <w:tc>
          <w:tcPr>
            <w:tcW w:type="dxa" w:w="3024"/>
            <w:shd w:val="clear" w:color="auto" w:fill="FFFFFF"/>
          </w:tcPr>
          <w:p>
            <w:r>
              <w:rPr>
                <w:rFonts w:ascii="Calibri" w:hAnsi="Calibri"/>
                <w:sz w:val="20"/>
              </w:rPr>
              <w:t>Export session</w:t>
            </w:r>
          </w:p>
        </w:tc>
        <w:tc>
          <w:tcPr>
            <w:tcW w:type="dxa" w:w="3024"/>
            <w:shd w:val="clear" w:color="auto" w:fill="FFFFFF"/>
          </w:tcPr>
          <w:p>
            <w:r>
              <w:rPr>
                <w:rFonts w:ascii="Calibri" w:hAnsi="Calibri"/>
                <w:sz w:val="20"/>
              </w:rPr>
              <w:t>Ctrl + E</w:t>
            </w:r>
          </w:p>
        </w:tc>
        <w:tc>
          <w:tcPr>
            <w:tcW w:type="dxa" w:w="3024"/>
            <w:shd w:val="clear" w:color="auto" w:fill="FFFFFF"/>
          </w:tcPr>
          <w:p>
            <w:r>
              <w:rPr>
                <w:rFonts w:ascii="Calibri" w:hAnsi="Calibri"/>
                <w:sz w:val="20"/>
              </w:rPr>
              <w:t>Cmd + E</w:t>
            </w:r>
          </w:p>
        </w:tc>
      </w:tr>
      <w:tr>
        <w:tc>
          <w:tcPr>
            <w:tcW w:type="dxa" w:w="3024"/>
            <w:shd w:val="clear" w:color="auto" w:fill="F9FAFB"/>
          </w:tcPr>
          <w:p>
            <w:r>
              <w:rPr>
                <w:rFonts w:ascii="Calibri" w:hAnsi="Calibri"/>
                <w:sz w:val="20"/>
              </w:rPr>
              <w:t>NeuralFlow — Compile</w:t>
            </w:r>
          </w:p>
        </w:tc>
        <w:tc>
          <w:tcPr>
            <w:tcW w:type="dxa" w:w="3024"/>
            <w:shd w:val="clear" w:color="auto" w:fill="F9FAFB"/>
          </w:tcPr>
          <w:p>
            <w:r>
              <w:rPr>
                <w:rFonts w:ascii="Calibri" w:hAnsi="Calibri"/>
                <w:sz w:val="20"/>
              </w:rPr>
              <w:t>Ctrl + B</w:t>
            </w:r>
          </w:p>
        </w:tc>
        <w:tc>
          <w:tcPr>
            <w:tcW w:type="dxa" w:w="3024"/>
            <w:shd w:val="clear" w:color="auto" w:fill="F9FAFB"/>
          </w:tcPr>
          <w:p>
            <w:r>
              <w:rPr>
                <w:rFonts w:ascii="Calibri" w:hAnsi="Calibri"/>
                <w:sz w:val="20"/>
              </w:rPr>
              <w:t>Cmd + B</w:t>
            </w:r>
          </w:p>
        </w:tc>
      </w:tr>
      <w:tr>
        <w:tc>
          <w:tcPr>
            <w:tcW w:type="dxa" w:w="3024"/>
            <w:shd w:val="clear" w:color="auto" w:fill="FFFFFF"/>
          </w:tcPr>
          <w:p>
            <w:r>
              <w:rPr>
                <w:rFonts w:ascii="Calibri" w:hAnsi="Calibri"/>
                <w:sz w:val="20"/>
              </w:rPr>
              <w:t>ML Suite — Compile</w:t>
            </w:r>
          </w:p>
        </w:tc>
        <w:tc>
          <w:tcPr>
            <w:tcW w:type="dxa" w:w="3024"/>
            <w:shd w:val="clear" w:color="auto" w:fill="FFFFFF"/>
          </w:tcPr>
          <w:p>
            <w:r>
              <w:rPr>
                <w:rFonts w:ascii="Calibri" w:hAnsi="Calibri"/>
                <w:sz w:val="20"/>
              </w:rPr>
              <w:t>Ctrl + Shift + B</w:t>
            </w:r>
          </w:p>
        </w:tc>
        <w:tc>
          <w:tcPr>
            <w:tcW w:type="dxa" w:w="3024"/>
            <w:shd w:val="clear" w:color="auto" w:fill="FFFFFF"/>
          </w:tcPr>
          <w:p>
            <w:r>
              <w:rPr>
                <w:rFonts w:ascii="Calibri" w:hAnsi="Calibri"/>
                <w:sz w:val="20"/>
              </w:rPr>
              <w:t>Cmd + Shift + B</w:t>
            </w:r>
          </w:p>
        </w:tc>
      </w:tr>
      <w:tr>
        <w:tc>
          <w:tcPr>
            <w:tcW w:type="dxa" w:w="3024"/>
            <w:shd w:val="clear" w:color="auto" w:fill="F9FAFB"/>
          </w:tcPr>
          <w:p>
            <w:r>
              <w:rPr>
                <w:rFonts w:ascii="Calibri" w:hAnsi="Calibri"/>
                <w:sz w:val="20"/>
              </w:rPr>
              <w:t>Generate Report</w:t>
            </w:r>
          </w:p>
        </w:tc>
        <w:tc>
          <w:tcPr>
            <w:tcW w:type="dxa" w:w="3024"/>
            <w:shd w:val="clear" w:color="auto" w:fill="F9FAFB"/>
          </w:tcPr>
          <w:p>
            <w:r>
              <w:rPr>
                <w:rFonts w:ascii="Calibri" w:hAnsi="Calibri"/>
                <w:sz w:val="20"/>
              </w:rPr>
              <w:t>Ctrl + R</w:t>
            </w:r>
          </w:p>
        </w:tc>
        <w:tc>
          <w:tcPr>
            <w:tcW w:type="dxa" w:w="3024"/>
            <w:shd w:val="clear" w:color="auto" w:fill="F9FAFB"/>
          </w:tcPr>
          <w:p>
            <w:r>
              <w:rPr>
                <w:rFonts w:ascii="Calibri" w:hAnsi="Calibri"/>
                <w:sz w:val="20"/>
              </w:rPr>
              <w:t>Cmd + R</w:t>
            </w:r>
          </w:p>
        </w:tc>
      </w:tr>
      <w:tr>
        <w:tc>
          <w:tcPr>
            <w:tcW w:type="dxa" w:w="3024"/>
            <w:shd w:val="clear" w:color="auto" w:fill="FFFFFF"/>
          </w:tcPr>
          <w:p>
            <w:r>
              <w:rPr>
                <w:rFonts w:ascii="Calibri" w:hAnsi="Calibri"/>
                <w:sz w:val="20"/>
              </w:rPr>
              <w:t>Search blocks</w:t>
            </w:r>
          </w:p>
        </w:tc>
        <w:tc>
          <w:tcPr>
            <w:tcW w:type="dxa" w:w="3024"/>
            <w:shd w:val="clear" w:color="auto" w:fill="FFFFFF"/>
          </w:tcPr>
          <w:p>
            <w:r>
              <w:rPr>
                <w:rFonts w:ascii="Calibri" w:hAnsi="Calibri"/>
                <w:sz w:val="20"/>
              </w:rPr>
              <w:t>Space (on canvas)</w:t>
            </w:r>
          </w:p>
        </w:tc>
        <w:tc>
          <w:tcPr>
            <w:tcW w:type="dxa" w:w="3024"/>
            <w:shd w:val="clear" w:color="auto" w:fill="FFFFFF"/>
          </w:tcPr>
          <w:p>
            <w:r>
              <w:rPr>
                <w:rFonts w:ascii="Calibri" w:hAnsi="Calibri"/>
                <w:sz w:val="20"/>
              </w:rPr>
              <w:t>Space (on canvas)</w:t>
            </w:r>
          </w:p>
        </w:tc>
      </w:tr>
      <w:tr>
        <w:tc>
          <w:tcPr>
            <w:tcW w:type="dxa" w:w="3024"/>
            <w:shd w:val="clear" w:color="auto" w:fill="F9FAFB"/>
          </w:tcPr>
          <w:p>
            <w:r>
              <w:rPr>
                <w:rFonts w:ascii="Calibri" w:hAnsi="Calibri"/>
                <w:sz w:val="20"/>
              </w:rPr>
              <w:t>Delete selected block</w:t>
            </w:r>
          </w:p>
        </w:tc>
        <w:tc>
          <w:tcPr>
            <w:tcW w:type="dxa" w:w="3024"/>
            <w:shd w:val="clear" w:color="auto" w:fill="F9FAFB"/>
          </w:tcPr>
          <w:p>
            <w:r>
              <w:rPr>
                <w:rFonts w:ascii="Calibri" w:hAnsi="Calibri"/>
                <w:sz w:val="20"/>
              </w:rPr>
              <w:t>Delete</w:t>
            </w:r>
          </w:p>
        </w:tc>
        <w:tc>
          <w:tcPr>
            <w:tcW w:type="dxa" w:w="3024"/>
            <w:shd w:val="clear" w:color="auto" w:fill="F9FAFB"/>
          </w:tcPr>
          <w:p>
            <w:r>
              <w:rPr>
                <w:rFonts w:ascii="Calibri" w:hAnsi="Calibri"/>
                <w:sz w:val="20"/>
              </w:rPr>
              <w:t>Delete</w:t>
            </w:r>
          </w:p>
        </w:tc>
      </w:tr>
      <w:tr>
        <w:tc>
          <w:tcPr>
            <w:tcW w:type="dxa" w:w="3024"/>
            <w:shd w:val="clear" w:color="auto" w:fill="FFFFFF"/>
          </w:tcPr>
          <w:p>
            <w:r>
              <w:rPr>
                <w:rFonts w:ascii="Calibri" w:hAnsi="Calibri"/>
                <w:sz w:val="20"/>
              </w:rPr>
              <w:t>Undo</w:t>
            </w:r>
          </w:p>
        </w:tc>
        <w:tc>
          <w:tcPr>
            <w:tcW w:type="dxa" w:w="3024"/>
            <w:shd w:val="clear" w:color="auto" w:fill="FFFFFF"/>
          </w:tcPr>
          <w:p>
            <w:r>
              <w:rPr>
                <w:rFonts w:ascii="Calibri" w:hAnsi="Calibri"/>
                <w:sz w:val="20"/>
              </w:rPr>
              <w:t>Ctrl + Z</w:t>
            </w:r>
          </w:p>
        </w:tc>
        <w:tc>
          <w:tcPr>
            <w:tcW w:type="dxa" w:w="3024"/>
            <w:shd w:val="clear" w:color="auto" w:fill="FFFFFF"/>
          </w:tcPr>
          <w:p>
            <w:r>
              <w:rPr>
                <w:rFonts w:ascii="Calibri" w:hAnsi="Calibri"/>
                <w:sz w:val="20"/>
              </w:rPr>
              <w:t>Cmd + Z</w:t>
            </w:r>
          </w:p>
        </w:tc>
      </w:tr>
      <w:tr>
        <w:tc>
          <w:tcPr>
            <w:tcW w:type="dxa" w:w="3024"/>
            <w:shd w:val="clear" w:color="auto" w:fill="F9FAFB"/>
          </w:tcPr>
          <w:p>
            <w:r>
              <w:rPr>
                <w:rFonts w:ascii="Calibri" w:hAnsi="Calibri"/>
                <w:sz w:val="20"/>
              </w:rPr>
              <w:t>Redo</w:t>
            </w:r>
          </w:p>
        </w:tc>
        <w:tc>
          <w:tcPr>
            <w:tcW w:type="dxa" w:w="3024"/>
            <w:shd w:val="clear" w:color="auto" w:fill="F9FAFB"/>
          </w:tcPr>
          <w:p>
            <w:r>
              <w:rPr>
                <w:rFonts w:ascii="Calibri" w:hAnsi="Calibri"/>
                <w:sz w:val="20"/>
              </w:rPr>
              <w:t>Ctrl + Y</w:t>
            </w:r>
          </w:p>
        </w:tc>
        <w:tc>
          <w:tcPr>
            <w:tcW w:type="dxa" w:w="3024"/>
            <w:shd w:val="clear" w:color="auto" w:fill="F9FAFB"/>
          </w:tcPr>
          <w:p>
            <w:r>
              <w:rPr>
                <w:rFonts w:ascii="Calibri" w:hAnsi="Calibri"/>
                <w:sz w:val="20"/>
              </w:rPr>
              <w:t>Cmd + Shift + Z</w:t>
            </w:r>
          </w:p>
        </w:tc>
      </w:tr>
      <w:tr>
        <w:tc>
          <w:tcPr>
            <w:tcW w:type="dxa" w:w="3024"/>
            <w:shd w:val="clear" w:color="auto" w:fill="FFFFFF"/>
          </w:tcPr>
          <w:p>
            <w:r>
              <w:rPr>
                <w:rFonts w:ascii="Calibri" w:hAnsi="Calibri"/>
                <w:sz w:val="20"/>
              </w:rPr>
              <w:t>Zoom in (canvas)</w:t>
            </w:r>
          </w:p>
        </w:tc>
        <w:tc>
          <w:tcPr>
            <w:tcW w:type="dxa" w:w="3024"/>
            <w:shd w:val="clear" w:color="auto" w:fill="FFFFFF"/>
          </w:tcPr>
          <w:p>
            <w:r>
              <w:rPr>
                <w:rFonts w:ascii="Calibri" w:hAnsi="Calibri"/>
                <w:sz w:val="20"/>
              </w:rPr>
              <w:t>Ctrl + =</w:t>
            </w:r>
          </w:p>
        </w:tc>
        <w:tc>
          <w:tcPr>
            <w:tcW w:type="dxa" w:w="3024"/>
            <w:shd w:val="clear" w:color="auto" w:fill="FFFFFF"/>
          </w:tcPr>
          <w:p>
            <w:r>
              <w:rPr>
                <w:rFonts w:ascii="Calibri" w:hAnsi="Calibri"/>
                <w:sz w:val="20"/>
              </w:rPr>
              <w:t>Cmd + =</w:t>
            </w:r>
          </w:p>
        </w:tc>
      </w:tr>
      <w:tr>
        <w:tc>
          <w:tcPr>
            <w:tcW w:type="dxa" w:w="3024"/>
            <w:shd w:val="clear" w:color="auto" w:fill="F9FAFB"/>
          </w:tcPr>
          <w:p>
            <w:r>
              <w:rPr>
                <w:rFonts w:ascii="Calibri" w:hAnsi="Calibri"/>
                <w:sz w:val="20"/>
              </w:rPr>
              <w:t>Zoom out (canvas)</w:t>
            </w:r>
          </w:p>
        </w:tc>
        <w:tc>
          <w:tcPr>
            <w:tcW w:type="dxa" w:w="3024"/>
            <w:shd w:val="clear" w:color="auto" w:fill="F9FAFB"/>
          </w:tcPr>
          <w:p>
            <w:r>
              <w:rPr>
                <w:rFonts w:ascii="Calibri" w:hAnsi="Calibri"/>
                <w:sz w:val="20"/>
              </w:rPr>
              <w:t>Ctrl + -</w:t>
            </w:r>
          </w:p>
        </w:tc>
        <w:tc>
          <w:tcPr>
            <w:tcW w:type="dxa" w:w="3024"/>
            <w:shd w:val="clear" w:color="auto" w:fill="F9FAFB"/>
          </w:tcPr>
          <w:p>
            <w:r>
              <w:rPr>
                <w:rFonts w:ascii="Calibri" w:hAnsi="Calibri"/>
                <w:sz w:val="20"/>
              </w:rPr>
              <w:t>Cmd + -</w:t>
            </w:r>
          </w:p>
        </w:tc>
      </w:tr>
      <w:tr>
        <w:tc>
          <w:tcPr>
            <w:tcW w:type="dxa" w:w="3024"/>
            <w:shd w:val="clear" w:color="auto" w:fill="FFFFFF"/>
          </w:tcPr>
          <w:p>
            <w:r>
              <w:rPr>
                <w:rFonts w:ascii="Calibri" w:hAnsi="Calibri"/>
                <w:sz w:val="20"/>
              </w:rPr>
              <w:t>Reset zoom (canvas)</w:t>
            </w:r>
          </w:p>
        </w:tc>
        <w:tc>
          <w:tcPr>
            <w:tcW w:type="dxa" w:w="3024"/>
            <w:shd w:val="clear" w:color="auto" w:fill="FFFFFF"/>
          </w:tcPr>
          <w:p>
            <w:r>
              <w:rPr>
                <w:rFonts w:ascii="Calibri" w:hAnsi="Calibri"/>
                <w:sz w:val="20"/>
              </w:rPr>
              <w:t>Ctrl + 0</w:t>
            </w:r>
          </w:p>
        </w:tc>
        <w:tc>
          <w:tcPr>
            <w:tcW w:type="dxa" w:w="3024"/>
            <w:shd w:val="clear" w:color="auto" w:fill="FFFFFF"/>
          </w:tcPr>
          <w:p>
            <w:r>
              <w:rPr>
                <w:rFonts w:ascii="Calibri" w:hAnsi="Calibri"/>
                <w:sz w:val="20"/>
              </w:rPr>
              <w:t>Cmd + 0</w:t>
            </w:r>
          </w:p>
        </w:tc>
      </w:tr>
    </w:tbl>
    <w:p/>
    <w:p>
      <w:r>
        <w:br w:type="page"/>
      </w:r>
    </w:p>
    <w:p>
      <w:pPr>
        <w:pStyle w:val="Heading1"/>
      </w:pPr>
      <w:r>
        <w:rPr>
          <w:rFonts w:ascii="Calibri" w:hAnsi="Calibri"/>
          <w:b/>
          <w:color w:val="C084FC"/>
          <w:sz w:val="40"/>
        </w:rPr>
        <w:t>14. Troubleshooting</w:t>
      </w:r>
    </w:p>
    <w:p>
      <w:pPr>
        <w:pStyle w:val="Heading2"/>
      </w:pPr>
      <w:r>
        <w:rPr>
          <w:rFonts w:ascii="Calibri" w:hAnsi="Calibri"/>
          <w:b/>
          <w:color w:val="0D9488"/>
          <w:sz w:val="30"/>
        </w:rPr>
        <w:t>'Server: Not Running' in the status bar</w:t>
      </w:r>
    </w:p>
    <w:p>
      <w:pPr>
        <w:pStyle w:val="ListBullet"/>
        <w:spacing w:after="60"/>
        <w:ind w:left="432"/>
      </w:pPr>
      <w:r>
        <w:rPr>
          <w:rFonts w:ascii="Calibri" w:hAnsi="Calibri"/>
          <w:b w:val="0"/>
          <w:i w:val="0"/>
          <w:sz w:val="21"/>
        </w:rPr>
        <w:t>BCILattice failed to start.</w:t>
      </w:r>
    </w:p>
    <w:p>
      <w:pPr>
        <w:pStyle w:val="ListBullet"/>
        <w:spacing w:after="60"/>
        <w:ind w:left="432"/>
      </w:pPr>
      <w:r>
        <w:rPr>
          <w:rFonts w:ascii="Calibri" w:hAnsi="Calibri"/>
          <w:b w:val="0"/>
          <w:i w:val="0"/>
          <w:sz w:val="21"/>
        </w:rPr>
        <w:t>Restart BCILattice. If the issue persists, check application logs.</w:t>
      </w:r>
    </w:p>
    <w:p>
      <w:pPr>
        <w:pStyle w:val="ListBullet"/>
        <w:spacing w:after="60"/>
        <w:ind w:left="432"/>
      </w:pPr>
      <w:r>
        <w:rPr>
          <w:rFonts w:ascii="Calibri" w:hAnsi="Calibri"/>
          <w:b w:val="0"/>
          <w:i w:val="0"/>
          <w:sz w:val="21"/>
        </w:rPr>
        <w:t>Restart BCILattice. Check logs at ~/.bcilattice/logs/ for the specific error.</w:t>
      </w:r>
    </w:p>
    <w:p>
      <w:pPr>
        <w:pStyle w:val="Heading2"/>
      </w:pPr>
      <w:r>
        <w:rPr>
          <w:rFonts w:ascii="Calibri" w:hAnsi="Calibri"/>
          <w:b/>
          <w:color w:val="0D9488"/>
          <w:sz w:val="30"/>
        </w:rPr>
        <w:t>File import fails with 'unsupported format'</w:t>
      </w:r>
    </w:p>
    <w:p>
      <w:pPr>
        <w:pStyle w:val="ListBullet"/>
        <w:spacing w:after="60"/>
        <w:ind w:left="432"/>
      </w:pPr>
      <w:r>
        <w:rPr>
          <w:rFonts w:ascii="Calibri" w:hAnsi="Calibri"/>
          <w:b w:val="0"/>
          <w:i w:val="0"/>
          <w:sz w:val="21"/>
        </w:rPr>
        <w:t>Verify the file is not corrupted by opening it in another tool.</w:t>
      </w:r>
    </w:p>
    <w:p>
      <w:pPr>
        <w:pStyle w:val="ListBullet"/>
        <w:spacing w:after="60"/>
        <w:ind w:left="432"/>
      </w:pPr>
      <w:r>
        <w:rPr>
          <w:rFonts w:ascii="Calibri" w:hAnsi="Calibri"/>
          <w:b w:val="0"/>
          <w:i w:val="0"/>
          <w:sz w:val="21"/>
        </w:rPr>
        <w:t>Ensure the file extension matches the actual format.</w:t>
      </w:r>
    </w:p>
    <w:p>
      <w:pPr>
        <w:pStyle w:val="ListBullet"/>
        <w:spacing w:after="60"/>
        <w:ind w:left="432"/>
      </w:pPr>
      <w:r>
        <w:rPr>
          <w:rFonts w:ascii="Calibri" w:hAnsi="Calibri"/>
          <w:b w:val="0"/>
          <w:i w:val="0"/>
          <w:sz w:val="21"/>
        </w:rPr>
        <w:t>Try converting to EDF using your acquisition software.</w:t>
      </w:r>
    </w:p>
    <w:p>
      <w:pPr>
        <w:pStyle w:val="Heading2"/>
      </w:pPr>
      <w:r>
        <w:rPr>
          <w:rFonts w:ascii="Calibri" w:hAnsi="Calibri"/>
          <w:b/>
          <w:color w:val="0D9488"/>
          <w:sz w:val="30"/>
        </w:rPr>
        <w:t>Training is very slow</w:t>
      </w:r>
    </w:p>
    <w:p>
      <w:pPr>
        <w:pStyle w:val="ListBullet"/>
        <w:spacing w:after="60"/>
        <w:ind w:left="432"/>
      </w:pPr>
      <w:r>
        <w:rPr>
          <w:rFonts w:ascii="Calibri" w:hAnsi="Calibri"/>
          <w:b w:val="0"/>
          <w:i w:val="0"/>
          <w:sz w:val="21"/>
        </w:rPr>
        <w:t>GPU is not detected. Check View → System Info for CUDA status.</w:t>
      </w:r>
    </w:p>
    <w:p>
      <w:pPr>
        <w:pStyle w:val="ListBullet"/>
        <w:spacing w:after="60"/>
        <w:ind w:left="432"/>
      </w:pPr>
      <w:r>
        <w:rPr>
          <w:rFonts w:ascii="Calibri" w:hAnsi="Calibri"/>
          <w:b w:val="0"/>
          <w:i w:val="0"/>
          <w:sz w:val="21"/>
        </w:rPr>
        <w:t>Install the NVIDIA CUDA toolkit matching your driver version.</w:t>
      </w:r>
    </w:p>
    <w:p>
      <w:pPr>
        <w:pStyle w:val="ListBullet"/>
        <w:spacing w:after="60"/>
        <w:ind w:left="432"/>
      </w:pPr>
      <w:r>
        <w:rPr>
          <w:rFonts w:ascii="Calibri" w:hAnsi="Calibri"/>
          <w:b w:val="0"/>
          <w:i w:val="0"/>
          <w:sz w:val="21"/>
        </w:rPr>
        <w:t>BCILattice automatically falls back to CPU — CPU training is supported but slower.</w:t>
      </w:r>
    </w:p>
    <w:p>
      <w:pPr>
        <w:pStyle w:val="Heading2"/>
      </w:pPr>
      <w:r>
        <w:rPr>
          <w:rFonts w:ascii="Calibri" w:hAnsi="Calibri"/>
          <w:b/>
          <w:color w:val="0D9488"/>
          <w:sz w:val="30"/>
        </w:rPr>
        <w:t>NeuralFlow compile error: 'incompatible port type'</w:t>
      </w:r>
    </w:p>
    <w:p>
      <w:pPr>
        <w:pStyle w:val="ListBullet"/>
        <w:spacing w:after="60"/>
        <w:ind w:left="432"/>
      </w:pPr>
      <w:r>
        <w:rPr>
          <w:rFonts w:ascii="Calibri" w:hAnsi="Calibri"/>
          <w:b w:val="0"/>
          <w:i w:val="0"/>
          <w:sz w:val="21"/>
        </w:rPr>
        <w:t>A block output type does not match the connected input type.</w:t>
      </w:r>
    </w:p>
    <w:p>
      <w:pPr>
        <w:pStyle w:val="ListBullet"/>
        <w:spacing w:after="60"/>
        <w:ind w:left="432"/>
      </w:pPr>
      <w:r>
        <w:rPr>
          <w:rFonts w:ascii="Calibri" w:hAnsi="Calibri"/>
          <w:b w:val="0"/>
          <w:i w:val="0"/>
          <w:sz w:val="21"/>
        </w:rPr>
        <w:t>Check the port colour indicator on each block.</w:t>
      </w:r>
    </w:p>
    <w:p>
      <w:pPr>
        <w:pStyle w:val="ListBullet"/>
        <w:spacing w:after="60"/>
        <w:ind w:left="432"/>
      </w:pPr>
      <w:r>
        <w:rPr>
          <w:rFonts w:ascii="Calibri" w:hAnsi="Calibri"/>
          <w:b w:val="0"/>
          <w:i w:val="0"/>
          <w:sz w:val="21"/>
        </w:rPr>
        <w:t>See the block documentation in the Property Inspector panel.</w:t>
      </w:r>
    </w:p>
    <w:p>
      <w:pPr>
        <w:pStyle w:val="Heading2"/>
      </w:pPr>
      <w:r>
        <w:rPr>
          <w:rFonts w:ascii="Calibri" w:hAnsi="Calibri"/>
          <w:b/>
          <w:color w:val="0D9488"/>
          <w:sz w:val="30"/>
        </w:rPr>
        <w:t>Channel selection returns 0 selected channels</w:t>
      </w:r>
    </w:p>
    <w:p>
      <w:pPr>
        <w:pStyle w:val="ListBullet"/>
        <w:spacing w:after="60"/>
        <w:ind w:left="432"/>
      </w:pPr>
      <w:r>
        <w:rPr>
          <w:rFonts w:ascii="Calibri" w:hAnsi="Calibri"/>
          <w:b w:val="0"/>
          <w:i w:val="0"/>
          <w:sz w:val="21"/>
        </w:rPr>
        <w:t>Ensure preprocessing has been applied and a clean/filtered file exists.</w:t>
      </w:r>
    </w:p>
    <w:p>
      <w:pPr>
        <w:pStyle w:val="ListBullet"/>
        <w:spacing w:after="60"/>
        <w:ind w:left="432"/>
      </w:pPr>
      <w:r>
        <w:rPr>
          <w:rFonts w:ascii="Calibri" w:hAnsi="Calibri"/>
          <w:b w:val="0"/>
          <w:i w:val="0"/>
          <w:sz w:val="21"/>
        </w:rPr>
        <w:t>Verify the label column is correctly set in Data Manager.</w:t>
      </w:r>
    </w:p>
    <w:p>
      <w:pPr>
        <w:pStyle w:val="ListBullet"/>
        <w:spacing w:after="60"/>
        <w:ind w:left="432"/>
      </w:pPr>
      <w:r>
        <w:rPr>
          <w:rFonts w:ascii="Calibri" w:hAnsi="Calibri"/>
          <w:b w:val="0"/>
          <w:i w:val="0"/>
          <w:sz w:val="21"/>
        </w:rPr>
        <w:t>Try increasing the percentile value (e.g. from 5% to 20%).</w:t>
      </w:r>
    </w:p>
    <w:p>
      <w:pPr>
        <w:pStyle w:val="Heading2"/>
      </w:pPr>
      <w:r>
        <w:rPr>
          <w:rFonts w:ascii="Calibri" w:hAnsi="Calibri"/>
          <w:b/>
          <w:color w:val="0D9488"/>
          <w:sz w:val="30"/>
        </w:rPr>
        <w:t>Contact Support</w:t>
      </w:r>
    </w:p>
    <w:p>
      <w:pPr>
        <w:spacing w:after="120"/>
      </w:pPr>
      <w:r>
        <w:rPr>
          <w:rFonts w:ascii="Calibri" w:hAnsi="Calibri"/>
          <w:b w:val="0"/>
          <w:i w:val="0"/>
          <w:sz w:val="22"/>
        </w:rPr>
        <w:t>Email: support@bcinexus.io</w:t>
      </w:r>
    </w:p>
    <w:p>
      <w:pPr>
        <w:spacing w:after="120"/>
      </w:pPr>
      <w:r>
        <w:rPr>
          <w:rFonts w:ascii="Calibri" w:hAnsi="Calibri"/>
          <w:b w:val="0"/>
          <w:i w:val="0"/>
          <w:sz w:val="22"/>
        </w:rPr>
        <w:t>Documentation: bcinexus.io/docs</w:t>
      </w:r>
    </w:p>
    <w:p>
      <w:pPr>
        <w:spacing w:after="120"/>
      </w:pPr>
      <w:r>
        <w:rPr>
          <w:rFonts w:ascii="Calibri" w:hAnsi="Calibri"/>
          <w:b w:val="0"/>
          <w:i w:val="0"/>
          <w:sz w:val="22"/>
        </w:rPr>
        <w:t>Community forum: community.bcinexus.io</w:t>
      </w:r>
    </w:p>
    <w:p>
      <w:pPr>
        <w:spacing w:after="120"/>
      </w:pPr>
      <w:r>
        <w:rPr>
          <w:rFonts w:ascii="Calibri" w:hAnsi="Calibri"/>
          <w:b w:val="0"/>
          <w:i w:val="0"/>
          <w:sz w:val="22"/>
        </w:rPr>
        <w:t>Status page: status.bcinexus.io</w:t>
      </w:r>
    </w:p>
    <w:sectPr w:rsidR="00FC693F" w:rsidRPr="0006063C" w:rsidSect="00034616">
      <w:pgSz w:w="12240" w:h="15840"/>
      <w:pgMar w:top="1440" w:right="1584" w:bottom="1440" w:left="158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